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charts/chart18.xml" ContentType="application/vnd.openxmlformats-officedocument.drawingml.chart+xml"/>
  <Override PartName="/word/theme/themeOverride12.xml" ContentType="application/vnd.openxmlformats-officedocument.themeOverride+xml"/>
  <Override PartName="/word/charts/chart17.xml" ContentType="application/vnd.openxmlformats-officedocument.drawingml.chart+xml"/>
  <Override PartName="/word/theme/themeOverride11.xml" ContentType="application/vnd.openxmlformats-officedocument.themeOverride+xml"/>
  <Override PartName="/word/theme/themeOverride10.xml" ContentType="application/vnd.openxmlformats-officedocument.themeOverride+xml"/>
  <Override PartName="/word/charts/chart15.xml" ContentType="application/vnd.openxmlformats-officedocument.drawingml.chart+xml"/>
  <Override PartName="/word/theme/themeOverride9.xml" ContentType="application/vnd.openxmlformats-officedocument.themeOverride+xml"/>
  <Override PartName="/word/charts/chart16.xml" ContentType="application/vnd.openxmlformats-officedocument.drawingml.chart+xml"/>
  <Override PartName="/word/theme/theme1.xml" ContentType="application/vnd.openxmlformats-officedocument.theme+xml"/>
  <Override PartName="/word/charts/chart14.xml" ContentType="application/vnd.openxmlformats-officedocument.drawingml.chart+xml"/>
  <Override PartName="/word/charts/chart13.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1.xml" ContentType="application/vnd.openxmlformats-officedocument.drawingml.chart+xml"/>
  <Override PartName="/word/theme/themeOverride8.xml" ContentType="application/vnd.openxmlformats-officedocument.themeOverride+xml"/>
  <Override PartName="/word/theme/themeOverride6.xml" ContentType="application/vnd.openxmlformats-officedocument.themeOverride+xml"/>
  <Override PartName="/word/charts/chart11.xml" ContentType="application/vnd.openxmlformats-officedocument.drawingml.chart+xml"/>
  <Override PartName="/word/theme/themeOverride7.xml" ContentType="application/vnd.openxmlformats-officedocument.themeOverride+xml"/>
  <Override PartName="/word/charts/chart12.xml" ContentType="application/vnd.openxmlformats-officedocument.drawingml.chart+xml"/>
  <Override PartName="/word/charts/chart5.xml" ContentType="application/vnd.openxmlformats-officedocument.drawingml.chart+xml"/>
  <Override PartName="/word/charts/chart10.xml" ContentType="application/vnd.openxmlformats-officedocument.drawingml.chart+xml"/>
  <Override PartName="/word/charts/chart9.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theme/themeOverride4.xml" ContentType="application/vnd.openxmlformats-officedocument.themeOverride+xml"/>
  <Override PartName="/word/theme/themeOverride5.xml" ContentType="application/vnd.openxmlformats-officedocument.themeOverride+xml"/>
  <Override PartName="/word/settings.xml" ContentType="application/vnd.openxmlformats-officedocument.wordprocessingml.settings+xml"/>
  <Override PartName="/customXml/itemProps2.xml" ContentType="application/vnd.openxmlformats-officedocument.customXmlPropertie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42" w:rsidRDefault="00455EDD" w:rsidP="00931C42">
      <w:pPr>
        <w:spacing w:before="120" w:after="120" w:line="240" w:lineRule="auto"/>
        <w:jc w:val="center"/>
        <w:rPr>
          <w:rFonts w:ascii="Times New Roman" w:eastAsia="Times New Roman" w:hAnsi="Times New Roman" w:cs="Times New Roman"/>
          <w:b/>
          <w:sz w:val="24"/>
          <w:szCs w:val="24"/>
          <w:lang w:eastAsia="sk-SK"/>
        </w:rPr>
      </w:pPr>
      <w:r w:rsidRPr="00E35C4F">
        <w:rPr>
          <w:rFonts w:ascii="Times New Roman" w:eastAsia="Times New Roman" w:hAnsi="Times New Roman" w:cs="Times New Roman"/>
          <w:b/>
          <w:sz w:val="24"/>
          <w:szCs w:val="24"/>
          <w:lang w:eastAsia="sk-SK"/>
        </w:rPr>
        <w:t xml:space="preserve">Správa o stave podnikateľského prostredia v Slovenskej republike </w:t>
      </w:r>
    </w:p>
    <w:p w:rsidR="00931C42" w:rsidRPr="00931C42" w:rsidRDefault="00931C42" w:rsidP="00931C42">
      <w:pPr>
        <w:spacing w:before="120" w:after="120" w:line="240" w:lineRule="auto"/>
        <w:jc w:val="center"/>
        <w:rPr>
          <w:rFonts w:ascii="Times New Roman" w:hAnsi="Times New Roman" w:cs="Times New Roman"/>
          <w:sz w:val="24"/>
          <w:szCs w:val="24"/>
        </w:rPr>
      </w:pPr>
    </w:p>
    <w:p w:rsidR="00D4340A" w:rsidRDefault="00D4340A" w:rsidP="00931C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Obsah</w:t>
      </w:r>
    </w:p>
    <w:p w:rsidR="002553B7" w:rsidRPr="00931C42" w:rsidRDefault="002553B7" w:rsidP="00931C42">
      <w:pPr>
        <w:spacing w:after="0" w:line="240" w:lineRule="auto"/>
        <w:jc w:val="both"/>
        <w:rPr>
          <w:rFonts w:ascii="Times New Roman" w:hAnsi="Times New Roman" w:cs="Times New Roman"/>
          <w:b/>
          <w:sz w:val="24"/>
          <w:szCs w:val="24"/>
        </w:rPr>
      </w:pP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Úvod  </w:t>
      </w: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Hlavné ukazovatele</w:t>
      </w:r>
      <w:r w:rsidR="009E1E12">
        <w:rPr>
          <w:rFonts w:ascii="Times New Roman" w:hAnsi="Times New Roman" w:cs="Times New Roman"/>
          <w:sz w:val="24"/>
          <w:szCs w:val="24"/>
        </w:rPr>
        <w:t xml:space="preserve"> vývoja podnikateľského prostredia</w:t>
      </w:r>
    </w:p>
    <w:p w:rsidR="00931C42" w:rsidRPr="00931C42" w:rsidRDefault="009E1E12" w:rsidP="0047505C">
      <w:pPr>
        <w:numPr>
          <w:ilvl w:val="1"/>
          <w:numId w:val="20"/>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Vývoj rastu HDP</w:t>
      </w:r>
      <w:r w:rsidR="00931C42" w:rsidRPr="00931C42">
        <w:rPr>
          <w:rFonts w:ascii="Times New Roman" w:hAnsi="Times New Roman" w:cs="Times New Roman"/>
          <w:sz w:val="24"/>
          <w:szCs w:val="24"/>
        </w:rPr>
        <w:t xml:space="preserve"> </w:t>
      </w:r>
    </w:p>
    <w:p w:rsidR="00931C42" w:rsidRPr="00931C42" w:rsidRDefault="00931C42" w:rsidP="0047505C">
      <w:pPr>
        <w:numPr>
          <w:ilvl w:val="1"/>
          <w:numId w:val="20"/>
        </w:numPr>
        <w:spacing w:after="0" w:line="240" w:lineRule="auto"/>
        <w:ind w:left="993"/>
        <w:contextualSpacing/>
        <w:jc w:val="both"/>
        <w:rPr>
          <w:rFonts w:ascii="Times New Roman" w:hAnsi="Times New Roman" w:cs="Times New Roman"/>
          <w:i/>
          <w:sz w:val="24"/>
          <w:szCs w:val="24"/>
        </w:rPr>
      </w:pPr>
      <w:r w:rsidRPr="00931C42">
        <w:rPr>
          <w:rFonts w:ascii="Times New Roman" w:hAnsi="Times New Roman" w:cs="Times New Roman"/>
          <w:sz w:val="24"/>
          <w:szCs w:val="24"/>
        </w:rPr>
        <w:t xml:space="preserve">Trh práce a vzdelávanie </w:t>
      </w:r>
    </w:p>
    <w:p w:rsidR="00931C42" w:rsidRPr="00931C42" w:rsidRDefault="00F84D47" w:rsidP="0047505C">
      <w:pPr>
        <w:numPr>
          <w:ilvl w:val="1"/>
          <w:numId w:val="20"/>
        </w:numPr>
        <w:spacing w:after="0" w:line="240" w:lineRule="auto"/>
        <w:ind w:left="993"/>
        <w:contextualSpacing/>
        <w:jc w:val="both"/>
        <w:rPr>
          <w:rFonts w:ascii="Times New Roman" w:hAnsi="Times New Roman" w:cs="Times New Roman"/>
          <w:i/>
          <w:sz w:val="24"/>
          <w:szCs w:val="24"/>
        </w:rPr>
      </w:pPr>
      <w:r>
        <w:rPr>
          <w:rFonts w:ascii="Times New Roman" w:hAnsi="Times New Roman" w:cs="Times New Roman"/>
          <w:sz w:val="24"/>
          <w:szCs w:val="24"/>
        </w:rPr>
        <w:t>Inovácie, veda a výskum</w:t>
      </w:r>
    </w:p>
    <w:p w:rsidR="00931C42" w:rsidRPr="00931C42" w:rsidRDefault="00931C42" w:rsidP="0047505C">
      <w:pPr>
        <w:numPr>
          <w:ilvl w:val="1"/>
          <w:numId w:val="20"/>
        </w:numPr>
        <w:spacing w:after="0" w:line="240" w:lineRule="auto"/>
        <w:ind w:left="993"/>
        <w:contextualSpacing/>
        <w:jc w:val="both"/>
        <w:rPr>
          <w:rFonts w:ascii="Times New Roman" w:hAnsi="Times New Roman" w:cs="Times New Roman"/>
          <w:i/>
          <w:sz w:val="24"/>
          <w:szCs w:val="24"/>
        </w:rPr>
      </w:pPr>
      <w:r w:rsidRPr="00931C42">
        <w:rPr>
          <w:rFonts w:ascii="Times New Roman" w:hAnsi="Times New Roman" w:cs="Times New Roman"/>
          <w:sz w:val="24"/>
          <w:szCs w:val="24"/>
        </w:rPr>
        <w:t xml:space="preserve">Daňové zaťaženie </w:t>
      </w: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Štruktúra podnikateľského prostredia </w:t>
      </w:r>
    </w:p>
    <w:p w:rsid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Komparatívne hodnotenie podnikateľského prostredia SR</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Hodnotenie Svetovej banky „</w:t>
      </w:r>
      <w:proofErr w:type="spellStart"/>
      <w:r w:rsidRPr="00916C2F">
        <w:rPr>
          <w:rFonts w:ascii="Times New Roman" w:hAnsi="Times New Roman" w:cs="Times New Roman"/>
          <w:sz w:val="24"/>
          <w:szCs w:val="24"/>
        </w:rPr>
        <w:t>Doing</w:t>
      </w:r>
      <w:proofErr w:type="spellEnd"/>
      <w:r w:rsidRPr="00916C2F">
        <w:rPr>
          <w:rFonts w:ascii="Times New Roman" w:hAnsi="Times New Roman" w:cs="Times New Roman"/>
          <w:sz w:val="24"/>
          <w:szCs w:val="24"/>
        </w:rPr>
        <w:t xml:space="preserve"> </w:t>
      </w:r>
      <w:proofErr w:type="spellStart"/>
      <w:r w:rsidRPr="00916C2F">
        <w:rPr>
          <w:rFonts w:ascii="Times New Roman" w:hAnsi="Times New Roman" w:cs="Times New Roman"/>
          <w:sz w:val="24"/>
          <w:szCs w:val="24"/>
        </w:rPr>
        <w:t>Business</w:t>
      </w:r>
      <w:proofErr w:type="spellEnd"/>
      <w:r w:rsidRPr="00916C2F">
        <w:rPr>
          <w:rFonts w:ascii="Times New Roman" w:hAnsi="Times New Roman" w:cs="Times New Roman"/>
          <w:sz w:val="24"/>
          <w:szCs w:val="24"/>
        </w:rPr>
        <w:t>“</w:t>
      </w:r>
    </w:p>
    <w:p w:rsidR="00BF789B" w:rsidRPr="00916C2F" w:rsidRDefault="00BF789B" w:rsidP="00BF789B">
      <w:pPr>
        <w:pStyle w:val="Odsekzoznamu"/>
        <w:numPr>
          <w:ilvl w:val="1"/>
          <w:numId w:val="20"/>
        </w:numPr>
        <w:ind w:left="993"/>
        <w:rPr>
          <w:rFonts w:ascii="Times New Roman" w:eastAsia="Times New Roman" w:hAnsi="Times New Roman" w:cs="Times New Roman"/>
          <w:sz w:val="24"/>
          <w:szCs w:val="24"/>
        </w:rPr>
      </w:pPr>
      <w:r w:rsidRPr="00916C2F">
        <w:rPr>
          <w:rFonts w:ascii="Times New Roman" w:eastAsia="Times New Roman" w:hAnsi="Times New Roman" w:cs="Times New Roman"/>
          <w:sz w:val="24"/>
          <w:szCs w:val="24"/>
        </w:rPr>
        <w:t>Postavenie SR v rebríčku konkurencieschopnosti Svetového ekonomického fóra</w:t>
      </w:r>
    </w:p>
    <w:p w:rsidR="00BF789B" w:rsidRPr="00916C2F" w:rsidRDefault="00127A5A" w:rsidP="00BF789B">
      <w:pPr>
        <w:pStyle w:val="Odsekzoznamu"/>
        <w:numPr>
          <w:ilvl w:val="1"/>
          <w:numId w:val="20"/>
        </w:numPr>
        <w:ind w:left="99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Výsledky </w:t>
      </w:r>
      <w:r>
        <w:rPr>
          <w:rFonts w:ascii="Times New Roman" w:hAnsi="Times New Roman"/>
          <w:sz w:val="24"/>
          <w:szCs w:val="24"/>
        </w:rPr>
        <w:t>ď</w:t>
      </w:r>
      <w:r>
        <w:rPr>
          <w:rFonts w:ascii="Times New Roman" w:eastAsia="Times New Roman" w:hAnsi="Times New Roman" w:cs="Times New Roman"/>
          <w:sz w:val="24"/>
          <w:szCs w:val="24"/>
        </w:rPr>
        <w:t>alších prieskumov</w:t>
      </w:r>
      <w:r w:rsidR="0083692A">
        <w:rPr>
          <w:rFonts w:ascii="Times New Roman" w:eastAsia="Times New Roman" w:hAnsi="Times New Roman" w:cs="Times New Roman"/>
          <w:sz w:val="24"/>
          <w:szCs w:val="24"/>
        </w:rPr>
        <w:t xml:space="preserve"> podnikateľského prostredia</w:t>
      </w: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Najvýznamnejšie legislatívne zmeny ovplyvňujúce podnikateľské prostredie účinné v roku 2016 </w:t>
      </w: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Informácia o Medzirezortnej skupine na najvyššej úrovni pre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w:t>
      </w:r>
    </w:p>
    <w:p w:rsid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Informácia o agende lepšej regulácie </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 xml:space="preserve">Stála pracovná komisia Legislatívnej rady vlády SR na posudzovanie vybraných vplyvov pri Ministerstve hospodárstva SR </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Konzultácie s podnikateľskými subjektmi</w:t>
      </w:r>
      <w:r w:rsidRPr="00916C2F">
        <w:rPr>
          <w:rFonts w:ascii="Times New Roman" w:hAnsi="Times New Roman" w:cs="Times New Roman"/>
          <w:sz w:val="24"/>
          <w:szCs w:val="24"/>
        </w:rPr>
        <w:tab/>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 xml:space="preserve">Test vplyvov na malé a stredné podniky </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Vyhodnotenie zmien procesu posudzovania vplyvov účinných od 01. 10. 2015</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Lepšia regulácia v Európskej únií</w:t>
      </w:r>
    </w:p>
    <w:p w:rsidR="00BF789B" w:rsidRPr="00916C2F" w:rsidRDefault="00BF789B" w:rsidP="00BF789B">
      <w:pPr>
        <w:pStyle w:val="Odsekzoznamu"/>
        <w:numPr>
          <w:ilvl w:val="1"/>
          <w:numId w:val="20"/>
        </w:numPr>
        <w:ind w:left="993"/>
        <w:rPr>
          <w:rFonts w:ascii="Times New Roman" w:hAnsi="Times New Roman" w:cs="Times New Roman"/>
          <w:sz w:val="24"/>
          <w:szCs w:val="24"/>
        </w:rPr>
      </w:pPr>
      <w:r w:rsidRPr="00916C2F">
        <w:rPr>
          <w:rFonts w:ascii="Times New Roman" w:hAnsi="Times New Roman" w:cs="Times New Roman"/>
          <w:sz w:val="24"/>
          <w:szCs w:val="24"/>
        </w:rPr>
        <w:t>Výzvy v agende lepšej regulácie</w:t>
      </w:r>
    </w:p>
    <w:p w:rsidR="0047218F" w:rsidRPr="0047218F" w:rsidRDefault="00F84D47" w:rsidP="0047218F">
      <w:pPr>
        <w:pStyle w:val="Odsekzoznamu"/>
        <w:numPr>
          <w:ilvl w:val="0"/>
          <w:numId w:val="20"/>
        </w:numPr>
        <w:rPr>
          <w:rFonts w:ascii="Times New Roman" w:hAnsi="Times New Roman" w:cs="Times New Roman"/>
          <w:sz w:val="24"/>
          <w:szCs w:val="24"/>
        </w:rPr>
      </w:pPr>
      <w:r w:rsidRPr="0047218F">
        <w:rPr>
          <w:rFonts w:ascii="Times New Roman" w:hAnsi="Times New Roman" w:cs="Times New Roman"/>
          <w:sz w:val="24"/>
          <w:szCs w:val="24"/>
        </w:rPr>
        <w:t>Správa o</w:t>
      </w:r>
      <w:r w:rsidR="0047218F" w:rsidRPr="0047218F">
        <w:rPr>
          <w:rFonts w:ascii="Times New Roman" w:hAnsi="Times New Roman" w:cs="Times New Roman"/>
          <w:sz w:val="24"/>
          <w:szCs w:val="24"/>
        </w:rPr>
        <w:t> stave malého a stredného podnikania</w:t>
      </w:r>
      <w:r w:rsidR="0047218F" w:rsidRPr="0047218F">
        <w:t xml:space="preserve"> </w:t>
      </w:r>
      <w:r w:rsidR="0047218F" w:rsidRPr="0047218F">
        <w:rPr>
          <w:rFonts w:ascii="Times New Roman" w:hAnsi="Times New Roman" w:cs="Times New Roman"/>
          <w:sz w:val="24"/>
          <w:szCs w:val="24"/>
        </w:rPr>
        <w:t>za rok 2015 - zhrnut</w:t>
      </w:r>
      <w:r w:rsidR="0047505C">
        <w:rPr>
          <w:rFonts w:ascii="Times New Roman" w:hAnsi="Times New Roman" w:cs="Times New Roman"/>
          <w:sz w:val="24"/>
          <w:szCs w:val="24"/>
        </w:rPr>
        <w:t>ie</w:t>
      </w:r>
    </w:p>
    <w:p w:rsidR="00931C42" w:rsidRPr="00931C42" w:rsidRDefault="00931C42" w:rsidP="00931C42">
      <w:pPr>
        <w:numPr>
          <w:ilvl w:val="0"/>
          <w:numId w:val="20"/>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Záver </w:t>
      </w:r>
    </w:p>
    <w:p w:rsidR="00D4340A" w:rsidRDefault="00D4340A" w:rsidP="00931C42">
      <w:pPr>
        <w:spacing w:after="0" w:line="240" w:lineRule="auto"/>
        <w:jc w:val="center"/>
        <w:rPr>
          <w:rFonts w:ascii="Times New Roman" w:hAnsi="Times New Roman" w:cs="Times New Roman"/>
          <w:b/>
          <w:sz w:val="24"/>
          <w:szCs w:val="24"/>
        </w:rPr>
        <w:sectPr w:rsidR="00D4340A" w:rsidSect="000F6FCC">
          <w:footerReference w:type="default" r:id="rId10"/>
          <w:endnotePr>
            <w:numFmt w:val="decimal"/>
          </w:endnotePr>
          <w:pgSz w:w="11906" w:h="16838" w:code="9"/>
          <w:pgMar w:top="851" w:right="1416" w:bottom="851" w:left="1134" w:header="709" w:footer="255" w:gutter="0"/>
          <w:paperSrc w:first="15" w:other="15"/>
          <w:pgNumType w:start="1"/>
          <w:cols w:space="708"/>
          <w:docGrid w:linePitch="360"/>
        </w:sectPr>
      </w:pPr>
    </w:p>
    <w:p w:rsidR="00931C42" w:rsidRPr="00931C42" w:rsidRDefault="00931C42" w:rsidP="00931C42">
      <w:pPr>
        <w:numPr>
          <w:ilvl w:val="0"/>
          <w:numId w:val="24"/>
        </w:numPr>
        <w:spacing w:after="0" w:line="240" w:lineRule="auto"/>
        <w:contextualSpacing/>
        <w:jc w:val="both"/>
        <w:rPr>
          <w:rFonts w:ascii="Times New Roman" w:hAnsi="Times New Roman" w:cs="Times New Roman"/>
          <w:b/>
          <w:sz w:val="28"/>
          <w:szCs w:val="28"/>
        </w:rPr>
      </w:pPr>
      <w:r w:rsidRPr="00931C42">
        <w:rPr>
          <w:rFonts w:ascii="Times New Roman" w:hAnsi="Times New Roman" w:cs="Times New Roman"/>
          <w:b/>
          <w:sz w:val="28"/>
          <w:szCs w:val="28"/>
        </w:rPr>
        <w:lastRenderedPageBreak/>
        <w:t xml:space="preserve">Úvod  </w:t>
      </w:r>
    </w:p>
    <w:p w:rsidR="00931C42" w:rsidRPr="00931C42" w:rsidRDefault="00931C42" w:rsidP="00931C42">
      <w:pPr>
        <w:spacing w:after="0" w:line="240" w:lineRule="auto"/>
        <w:ind w:left="502"/>
        <w:contextualSpacing/>
        <w:jc w:val="both"/>
        <w:rPr>
          <w:rFonts w:ascii="Times New Roman" w:hAnsi="Times New Roman" w:cs="Times New Roman"/>
          <w:b/>
          <w:sz w:val="24"/>
          <w:szCs w:val="24"/>
        </w:rPr>
      </w:pPr>
    </w:p>
    <w:p w:rsidR="00127A5A" w:rsidRDefault="00931C42" w:rsidP="001C52C2">
      <w:pPr>
        <w:spacing w:after="12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 xml:space="preserve">Podnikateľské prostredie na Slovensku prešlo od jeho vzniku značnými zmenami. Minimálne od obdobia štartu zásadných štrukturálnych reforiem v SR od roku 2002 sa fungovanie podnikateľského prostredia v SR zlepšilo v kľúčových oblastiach. Je nesporné, že </w:t>
      </w:r>
      <w:r w:rsidR="00984895">
        <w:rPr>
          <w:rFonts w:ascii="Times New Roman" w:hAnsi="Times New Roman" w:cs="Times New Roman"/>
          <w:sz w:val="24"/>
          <w:szCs w:val="24"/>
        </w:rPr>
        <w:t>SR</w:t>
      </w:r>
      <w:r w:rsidRPr="00931C42">
        <w:rPr>
          <w:rFonts w:ascii="Times New Roman" w:hAnsi="Times New Roman" w:cs="Times New Roman"/>
          <w:sz w:val="24"/>
          <w:szCs w:val="24"/>
        </w:rPr>
        <w:t xml:space="preserve"> prešla, najmä v ostatných desiatich rokoch, procesom globálne unikátnej syntézy reforiem a priemyselnej reštrukturalizácie. </w:t>
      </w:r>
      <w:r w:rsidR="0047505C">
        <w:rPr>
          <w:rFonts w:ascii="Times New Roman" w:hAnsi="Times New Roman" w:cs="Times New Roman"/>
          <w:sz w:val="24"/>
          <w:szCs w:val="24"/>
        </w:rPr>
        <w:t>Kým v</w:t>
      </w:r>
      <w:r w:rsidRPr="00931C42">
        <w:rPr>
          <w:rFonts w:ascii="Times New Roman" w:hAnsi="Times New Roman" w:cs="Times New Roman"/>
          <w:sz w:val="24"/>
          <w:szCs w:val="24"/>
        </w:rPr>
        <w:t xml:space="preserve"> roku 1988 Slovensko vyprodukovalo presne 4 674 osobných a úžitkových vozidiel</w:t>
      </w:r>
      <w:r w:rsidR="0047505C">
        <w:rPr>
          <w:rFonts w:ascii="Times New Roman" w:hAnsi="Times New Roman" w:cs="Times New Roman"/>
          <w:sz w:val="24"/>
          <w:szCs w:val="24"/>
        </w:rPr>
        <w:t>, v </w:t>
      </w:r>
      <w:r w:rsidRPr="00931C42">
        <w:rPr>
          <w:rFonts w:ascii="Times New Roman" w:hAnsi="Times New Roman" w:cs="Times New Roman"/>
          <w:sz w:val="24"/>
          <w:szCs w:val="24"/>
        </w:rPr>
        <w:t>súčasnosti</w:t>
      </w:r>
      <w:r w:rsidR="0047505C">
        <w:rPr>
          <w:rFonts w:ascii="Times New Roman" w:hAnsi="Times New Roman" w:cs="Times New Roman"/>
          <w:sz w:val="24"/>
          <w:szCs w:val="24"/>
        </w:rPr>
        <w:t xml:space="preserve"> ich </w:t>
      </w:r>
      <w:r w:rsidRPr="00931C42">
        <w:rPr>
          <w:rFonts w:ascii="Times New Roman" w:hAnsi="Times New Roman" w:cs="Times New Roman"/>
          <w:sz w:val="24"/>
          <w:szCs w:val="24"/>
        </w:rPr>
        <w:t xml:space="preserve">počet presahuje 1 milión kusov ročne. </w:t>
      </w:r>
      <w:r w:rsidR="00543FC2" w:rsidRPr="0047505C">
        <w:rPr>
          <w:rFonts w:ascii="Times New Roman" w:hAnsi="Times New Roman" w:cs="Times New Roman"/>
          <w:sz w:val="24"/>
          <w:szCs w:val="24"/>
        </w:rPr>
        <w:t>S</w:t>
      </w:r>
      <w:r w:rsidR="00543FC2">
        <w:rPr>
          <w:rFonts w:ascii="Times New Roman" w:hAnsi="Times New Roman" w:cs="Times New Roman"/>
          <w:sz w:val="24"/>
          <w:szCs w:val="24"/>
        </w:rPr>
        <w:t> </w:t>
      </w:r>
      <w:r w:rsidR="0047505C" w:rsidRPr="0047505C">
        <w:rPr>
          <w:rFonts w:ascii="Times New Roman" w:hAnsi="Times New Roman" w:cs="Times New Roman"/>
          <w:sz w:val="24"/>
          <w:szCs w:val="24"/>
        </w:rPr>
        <w:t xml:space="preserve">očakávaným príchodom automobilky </w:t>
      </w:r>
      <w:proofErr w:type="spellStart"/>
      <w:r w:rsidR="0047505C" w:rsidRPr="0047505C">
        <w:rPr>
          <w:rFonts w:ascii="Times New Roman" w:hAnsi="Times New Roman" w:cs="Times New Roman"/>
          <w:sz w:val="24"/>
          <w:szCs w:val="24"/>
        </w:rPr>
        <w:t>Jaguar</w:t>
      </w:r>
      <w:proofErr w:type="spellEnd"/>
      <w:r w:rsidR="0047505C" w:rsidRPr="0047505C">
        <w:rPr>
          <w:rFonts w:ascii="Times New Roman" w:hAnsi="Times New Roman" w:cs="Times New Roman"/>
          <w:sz w:val="24"/>
          <w:szCs w:val="24"/>
        </w:rPr>
        <w:t xml:space="preserve"> </w:t>
      </w:r>
      <w:proofErr w:type="spellStart"/>
      <w:r w:rsidR="0047505C" w:rsidRPr="0047505C">
        <w:rPr>
          <w:rFonts w:ascii="Times New Roman" w:hAnsi="Times New Roman" w:cs="Times New Roman"/>
          <w:sz w:val="24"/>
          <w:szCs w:val="24"/>
        </w:rPr>
        <w:t>Land</w:t>
      </w:r>
      <w:proofErr w:type="spellEnd"/>
      <w:r w:rsidR="0047505C" w:rsidRPr="0047505C">
        <w:rPr>
          <w:rFonts w:ascii="Times New Roman" w:hAnsi="Times New Roman" w:cs="Times New Roman"/>
          <w:sz w:val="24"/>
          <w:szCs w:val="24"/>
        </w:rPr>
        <w:t xml:space="preserve"> </w:t>
      </w:r>
      <w:proofErr w:type="spellStart"/>
      <w:r w:rsidR="0047505C" w:rsidRPr="0047505C">
        <w:rPr>
          <w:rFonts w:ascii="Times New Roman" w:hAnsi="Times New Roman" w:cs="Times New Roman"/>
          <w:sz w:val="24"/>
          <w:szCs w:val="24"/>
        </w:rPr>
        <w:t>Rover</w:t>
      </w:r>
      <w:proofErr w:type="spellEnd"/>
      <w:r w:rsidR="0047505C" w:rsidRPr="0047505C">
        <w:rPr>
          <w:rFonts w:ascii="Times New Roman" w:hAnsi="Times New Roman" w:cs="Times New Roman"/>
          <w:sz w:val="24"/>
          <w:szCs w:val="24"/>
        </w:rPr>
        <w:t xml:space="preserve"> by malo toto číslo ešte narásť.</w:t>
      </w:r>
      <w:r w:rsidR="0047505C">
        <w:rPr>
          <w:rFonts w:ascii="Times New Roman" w:hAnsi="Times New Roman" w:cs="Times New Roman"/>
          <w:sz w:val="24"/>
          <w:szCs w:val="24"/>
        </w:rPr>
        <w:t xml:space="preserve"> </w:t>
      </w:r>
    </w:p>
    <w:p w:rsidR="00931C42" w:rsidRPr="00931C42" w:rsidRDefault="00931C42" w:rsidP="001C52C2">
      <w:pPr>
        <w:spacing w:after="12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Slovensko úspešne zvládlo prechod na etablované pozície globálnej hospodárskej súťaže v</w:t>
      </w:r>
      <w:r w:rsidR="008B6F70">
        <w:rPr>
          <w:rFonts w:ascii="Times New Roman" w:hAnsi="Times New Roman" w:cs="Times New Roman"/>
          <w:sz w:val="24"/>
          <w:szCs w:val="24"/>
        </w:rPr>
        <w:t> </w:t>
      </w:r>
      <w:r w:rsidRPr="00931C42">
        <w:rPr>
          <w:rFonts w:ascii="Times New Roman" w:hAnsi="Times New Roman" w:cs="Times New Roman"/>
          <w:sz w:val="24"/>
          <w:szCs w:val="24"/>
        </w:rPr>
        <w:t xml:space="preserve">sektore stredných a nižších vysokých technológií. Pritom boli rozhodujúcimi faktormi neustály dôraz na zlepšovanie jednotlivých regulačných charakteristík podnikateľského prostredia, posilňovanie makroekonomickej stability a členstvo v </w:t>
      </w:r>
      <w:r w:rsidR="0068533A">
        <w:rPr>
          <w:rFonts w:ascii="Times New Roman" w:hAnsi="Times New Roman" w:cs="Times New Roman"/>
          <w:sz w:val="24"/>
          <w:szCs w:val="24"/>
        </w:rPr>
        <w:t>Eur</w:t>
      </w:r>
      <w:r w:rsidRPr="00931C42">
        <w:rPr>
          <w:rFonts w:ascii="Times New Roman" w:hAnsi="Times New Roman" w:cs="Times New Roman"/>
          <w:sz w:val="24"/>
          <w:szCs w:val="24"/>
        </w:rPr>
        <w:t xml:space="preserve">ópskej menovej únii. Zaznamenali sa výrazné zmeny v oblasti legislatívy, charakterizované najmä zavedením daňovej reformy, </w:t>
      </w:r>
      <w:r w:rsidR="00E806B7" w:rsidRPr="00931C42">
        <w:rPr>
          <w:rFonts w:ascii="Times New Roman" w:hAnsi="Times New Roman" w:cs="Times New Roman"/>
          <w:sz w:val="24"/>
          <w:szCs w:val="24"/>
        </w:rPr>
        <w:t>zmen</w:t>
      </w:r>
      <w:r w:rsidR="00E806B7">
        <w:rPr>
          <w:rFonts w:ascii="Times New Roman" w:hAnsi="Times New Roman" w:cs="Times New Roman"/>
          <w:sz w:val="24"/>
          <w:szCs w:val="24"/>
        </w:rPr>
        <w:t>ami</w:t>
      </w:r>
      <w:r w:rsidR="00E806B7" w:rsidRPr="00931C42">
        <w:rPr>
          <w:rFonts w:ascii="Times New Roman" w:hAnsi="Times New Roman" w:cs="Times New Roman"/>
          <w:sz w:val="24"/>
          <w:szCs w:val="24"/>
        </w:rPr>
        <w:t xml:space="preserve"> </w:t>
      </w:r>
      <w:r w:rsidRPr="00931C42">
        <w:rPr>
          <w:rFonts w:ascii="Times New Roman" w:hAnsi="Times New Roman" w:cs="Times New Roman"/>
          <w:sz w:val="24"/>
          <w:szCs w:val="24"/>
        </w:rPr>
        <w:t>v uplatňovaní aktívnej politiky trhu práce a</w:t>
      </w:r>
      <w:r w:rsidR="005001E7">
        <w:rPr>
          <w:rFonts w:ascii="Times New Roman" w:hAnsi="Times New Roman" w:cs="Times New Roman"/>
          <w:sz w:val="24"/>
          <w:szCs w:val="24"/>
        </w:rPr>
        <w:t> </w:t>
      </w:r>
      <w:r w:rsidRPr="00931C42">
        <w:rPr>
          <w:rFonts w:ascii="Times New Roman" w:hAnsi="Times New Roman" w:cs="Times New Roman"/>
          <w:sz w:val="24"/>
          <w:szCs w:val="24"/>
        </w:rPr>
        <w:t>zavedením nového zákona o</w:t>
      </w:r>
      <w:r w:rsidR="008B6F70">
        <w:rPr>
          <w:rFonts w:ascii="Times New Roman" w:hAnsi="Times New Roman" w:cs="Times New Roman"/>
          <w:sz w:val="24"/>
          <w:szCs w:val="24"/>
        </w:rPr>
        <w:t> </w:t>
      </w:r>
      <w:r w:rsidRPr="00931C42">
        <w:rPr>
          <w:rFonts w:ascii="Times New Roman" w:hAnsi="Times New Roman" w:cs="Times New Roman"/>
          <w:sz w:val="24"/>
          <w:szCs w:val="24"/>
        </w:rPr>
        <w:t>konkurze a</w:t>
      </w:r>
      <w:r>
        <w:rPr>
          <w:rFonts w:ascii="Times New Roman" w:hAnsi="Times New Roman" w:cs="Times New Roman"/>
          <w:sz w:val="24"/>
          <w:szCs w:val="24"/>
        </w:rPr>
        <w:t> </w:t>
      </w:r>
      <w:r w:rsidRPr="00931C42">
        <w:rPr>
          <w:rFonts w:ascii="Times New Roman" w:hAnsi="Times New Roman" w:cs="Times New Roman"/>
          <w:sz w:val="24"/>
          <w:szCs w:val="24"/>
        </w:rPr>
        <w:t>reštrukturalizácii.</w:t>
      </w:r>
    </w:p>
    <w:p w:rsidR="00931C42" w:rsidRPr="00931C42" w:rsidRDefault="00931C42" w:rsidP="001C52C2">
      <w:pPr>
        <w:spacing w:after="12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Predložený materiál v jednotlivých kapitolách mapuje rôzne aspekty aktuálneho stavu podnikateľského prostredia v SR. V</w:t>
      </w:r>
      <w:r w:rsidR="005001E7">
        <w:rPr>
          <w:rFonts w:ascii="Times New Roman" w:hAnsi="Times New Roman" w:cs="Times New Roman"/>
          <w:sz w:val="24"/>
          <w:szCs w:val="24"/>
        </w:rPr>
        <w:t> </w:t>
      </w:r>
      <w:r w:rsidR="00E806B7">
        <w:rPr>
          <w:rFonts w:ascii="Times New Roman" w:hAnsi="Times New Roman" w:cs="Times New Roman"/>
          <w:sz w:val="24"/>
          <w:szCs w:val="24"/>
        </w:rPr>
        <w:t>druhej</w:t>
      </w:r>
      <w:r w:rsidR="005001E7">
        <w:rPr>
          <w:rFonts w:ascii="Times New Roman" w:hAnsi="Times New Roman" w:cs="Times New Roman"/>
          <w:sz w:val="24"/>
          <w:szCs w:val="24"/>
        </w:rPr>
        <w:t xml:space="preserve"> </w:t>
      </w:r>
      <w:r w:rsidRPr="00931C42">
        <w:rPr>
          <w:rFonts w:ascii="Times New Roman" w:hAnsi="Times New Roman" w:cs="Times New Roman"/>
          <w:sz w:val="24"/>
          <w:szCs w:val="24"/>
        </w:rPr>
        <w:t xml:space="preserve">kapitole sú popísané hlavné ukazovatele vývoja podnikateľského prostredia, medzi nimi vybrané makroekonomické ukazovatele, trh práce a vzdelávanie, inovácie, výskum a vývoj a daňové zaťaženie. </w:t>
      </w:r>
      <w:r w:rsidR="00E806B7">
        <w:rPr>
          <w:rFonts w:ascii="Times New Roman" w:hAnsi="Times New Roman" w:cs="Times New Roman"/>
          <w:sz w:val="24"/>
          <w:szCs w:val="24"/>
        </w:rPr>
        <w:t>Tretia</w:t>
      </w:r>
      <w:r w:rsidR="005001E7">
        <w:rPr>
          <w:rFonts w:ascii="Times New Roman" w:hAnsi="Times New Roman" w:cs="Times New Roman"/>
          <w:sz w:val="24"/>
          <w:szCs w:val="24"/>
        </w:rPr>
        <w:t xml:space="preserve"> kapitola</w:t>
      </w:r>
      <w:r w:rsidRPr="00931C42">
        <w:rPr>
          <w:rFonts w:ascii="Times New Roman" w:hAnsi="Times New Roman" w:cs="Times New Roman"/>
          <w:sz w:val="24"/>
          <w:szCs w:val="24"/>
        </w:rPr>
        <w:t xml:space="preserve"> predstavuje štruktúru podnikateľského prostredia. </w:t>
      </w:r>
      <w:r w:rsidR="005001E7">
        <w:rPr>
          <w:rFonts w:ascii="Times New Roman" w:hAnsi="Times New Roman" w:cs="Times New Roman"/>
          <w:sz w:val="24"/>
          <w:szCs w:val="24"/>
        </w:rPr>
        <w:t>V</w:t>
      </w:r>
      <w:r w:rsidR="00E806B7">
        <w:rPr>
          <w:rFonts w:ascii="Times New Roman" w:hAnsi="Times New Roman" w:cs="Times New Roman"/>
          <w:sz w:val="24"/>
          <w:szCs w:val="24"/>
        </w:rPr>
        <w:t>o</w:t>
      </w:r>
      <w:r w:rsidR="005001E7">
        <w:rPr>
          <w:rFonts w:ascii="Times New Roman" w:hAnsi="Times New Roman" w:cs="Times New Roman"/>
          <w:sz w:val="24"/>
          <w:szCs w:val="24"/>
        </w:rPr>
        <w:t> </w:t>
      </w:r>
      <w:r w:rsidR="00E806B7">
        <w:rPr>
          <w:rFonts w:ascii="Times New Roman" w:hAnsi="Times New Roman" w:cs="Times New Roman"/>
          <w:sz w:val="24"/>
          <w:szCs w:val="24"/>
        </w:rPr>
        <w:t xml:space="preserve">štvrtej </w:t>
      </w:r>
      <w:r w:rsidR="005001E7">
        <w:rPr>
          <w:rFonts w:ascii="Times New Roman" w:hAnsi="Times New Roman" w:cs="Times New Roman"/>
          <w:sz w:val="24"/>
          <w:szCs w:val="24"/>
        </w:rPr>
        <w:t xml:space="preserve">kapitole sú informácie o medzinárodnom </w:t>
      </w:r>
      <w:r w:rsidRPr="00931C42">
        <w:rPr>
          <w:rFonts w:ascii="Times New Roman" w:hAnsi="Times New Roman" w:cs="Times New Roman"/>
          <w:sz w:val="24"/>
          <w:szCs w:val="24"/>
        </w:rPr>
        <w:t>hodnoten</w:t>
      </w:r>
      <w:r w:rsidR="005001E7">
        <w:rPr>
          <w:rFonts w:ascii="Times New Roman" w:hAnsi="Times New Roman" w:cs="Times New Roman"/>
          <w:sz w:val="24"/>
          <w:szCs w:val="24"/>
        </w:rPr>
        <w:t>í</w:t>
      </w:r>
      <w:r w:rsidRPr="00931C42">
        <w:rPr>
          <w:rFonts w:ascii="Times New Roman" w:hAnsi="Times New Roman" w:cs="Times New Roman"/>
          <w:sz w:val="24"/>
          <w:szCs w:val="24"/>
        </w:rPr>
        <w:t xml:space="preserve"> slovenského podnikateľského prostredia v rámci rebríčkov Svetovej banky, Svetového ekonomického fóra a</w:t>
      </w:r>
      <w:r w:rsidR="004614EC">
        <w:rPr>
          <w:rFonts w:ascii="Times New Roman" w:hAnsi="Times New Roman" w:cs="Times New Roman"/>
          <w:sz w:val="24"/>
          <w:szCs w:val="24"/>
        </w:rPr>
        <w:t> ďalších prieskumov</w:t>
      </w:r>
      <w:r w:rsidRPr="00931C42">
        <w:rPr>
          <w:rFonts w:ascii="Times New Roman" w:hAnsi="Times New Roman" w:cs="Times New Roman"/>
          <w:sz w:val="24"/>
          <w:szCs w:val="24"/>
        </w:rPr>
        <w:t xml:space="preserve">. Nasledujúca </w:t>
      </w:r>
      <w:r w:rsidR="005001E7">
        <w:rPr>
          <w:rFonts w:ascii="Times New Roman" w:hAnsi="Times New Roman" w:cs="Times New Roman"/>
          <w:sz w:val="24"/>
          <w:szCs w:val="24"/>
        </w:rPr>
        <w:t>kapitola</w:t>
      </w:r>
      <w:r w:rsidRPr="00931C42">
        <w:rPr>
          <w:rFonts w:ascii="Times New Roman" w:hAnsi="Times New Roman" w:cs="Times New Roman"/>
          <w:sz w:val="24"/>
          <w:szCs w:val="24"/>
        </w:rPr>
        <w:t xml:space="preserve"> opisuje najvýznamnejšie </w:t>
      </w:r>
      <w:r w:rsidR="005001E7">
        <w:rPr>
          <w:rFonts w:ascii="Times New Roman" w:hAnsi="Times New Roman" w:cs="Times New Roman"/>
          <w:sz w:val="24"/>
          <w:szCs w:val="24"/>
        </w:rPr>
        <w:t xml:space="preserve">legislatívne </w:t>
      </w:r>
      <w:r w:rsidRPr="00931C42">
        <w:rPr>
          <w:rFonts w:ascii="Times New Roman" w:hAnsi="Times New Roman" w:cs="Times New Roman"/>
          <w:sz w:val="24"/>
          <w:szCs w:val="24"/>
        </w:rPr>
        <w:t xml:space="preserve">zmeny uplynulého obdobia, ktoré ovplyvňujú slovenské podnikateľské prostredie. </w:t>
      </w:r>
      <w:r w:rsidR="00E806B7">
        <w:rPr>
          <w:rFonts w:ascii="Times New Roman" w:hAnsi="Times New Roman" w:cs="Times New Roman"/>
          <w:sz w:val="24"/>
          <w:szCs w:val="24"/>
        </w:rPr>
        <w:t>Šiesta</w:t>
      </w:r>
      <w:r w:rsidRPr="00931C42">
        <w:rPr>
          <w:rFonts w:ascii="Times New Roman" w:hAnsi="Times New Roman" w:cs="Times New Roman"/>
          <w:sz w:val="24"/>
          <w:szCs w:val="24"/>
        </w:rPr>
        <w:t xml:space="preserve"> kapitola predstavuje Medzirezortnú pracovnú skupin</w:t>
      </w:r>
      <w:r w:rsidR="005001E7">
        <w:rPr>
          <w:rFonts w:ascii="Times New Roman" w:hAnsi="Times New Roman" w:cs="Times New Roman"/>
          <w:sz w:val="24"/>
          <w:szCs w:val="24"/>
        </w:rPr>
        <w:t>u</w:t>
      </w:r>
      <w:r w:rsidRPr="00931C42">
        <w:rPr>
          <w:rFonts w:ascii="Times New Roman" w:hAnsi="Times New Roman" w:cs="Times New Roman"/>
          <w:sz w:val="24"/>
          <w:szCs w:val="24"/>
        </w:rPr>
        <w:t xml:space="preserve"> na najvyššej úrovni pre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ktorú v roku 2016 zriadilo Ministerstvo hospodárstva SR. </w:t>
      </w:r>
      <w:r w:rsidR="00E806B7">
        <w:rPr>
          <w:rFonts w:ascii="Times New Roman" w:hAnsi="Times New Roman" w:cs="Times New Roman"/>
          <w:sz w:val="24"/>
          <w:szCs w:val="24"/>
        </w:rPr>
        <w:t>Siedma</w:t>
      </w:r>
      <w:r w:rsidR="005001E7">
        <w:rPr>
          <w:rFonts w:ascii="Times New Roman" w:hAnsi="Times New Roman" w:cs="Times New Roman"/>
          <w:sz w:val="24"/>
          <w:szCs w:val="24"/>
        </w:rPr>
        <w:t xml:space="preserve"> kapitola</w:t>
      </w:r>
      <w:r w:rsidRPr="00931C42">
        <w:rPr>
          <w:rFonts w:ascii="Times New Roman" w:hAnsi="Times New Roman" w:cs="Times New Roman"/>
          <w:sz w:val="24"/>
          <w:szCs w:val="24"/>
        </w:rPr>
        <w:t xml:space="preserve"> charakterizuje zmeny v agende lepšej regulácie, ktoré boli zavedené do praxe v závere roka 2015</w:t>
      </w:r>
      <w:r w:rsidR="005001E7" w:rsidRPr="005001E7">
        <w:rPr>
          <w:rFonts w:ascii="Times New Roman" w:hAnsi="Times New Roman" w:cs="Times New Roman"/>
          <w:sz w:val="24"/>
          <w:szCs w:val="24"/>
        </w:rPr>
        <w:t xml:space="preserve"> </w:t>
      </w:r>
      <w:r w:rsidR="005001E7">
        <w:rPr>
          <w:rFonts w:ascii="Times New Roman" w:hAnsi="Times New Roman" w:cs="Times New Roman"/>
          <w:sz w:val="24"/>
          <w:szCs w:val="24"/>
        </w:rPr>
        <w:t xml:space="preserve">a ich efekt sa prejavuje v roku 2016. Záverečná </w:t>
      </w:r>
      <w:r w:rsidR="00E806B7">
        <w:rPr>
          <w:rFonts w:ascii="Times New Roman" w:hAnsi="Times New Roman" w:cs="Times New Roman"/>
          <w:sz w:val="24"/>
          <w:szCs w:val="24"/>
        </w:rPr>
        <w:t>ôsma</w:t>
      </w:r>
      <w:r w:rsidR="005001E7">
        <w:rPr>
          <w:rFonts w:ascii="Times New Roman" w:hAnsi="Times New Roman" w:cs="Times New Roman"/>
          <w:sz w:val="24"/>
          <w:szCs w:val="24"/>
        </w:rPr>
        <w:t xml:space="preserve"> kapitola obsahuje zhrnutie Správy o stave malého a stredného podnikania.</w:t>
      </w:r>
      <w:r w:rsidRPr="00931C42">
        <w:rPr>
          <w:rFonts w:ascii="Times New Roman" w:hAnsi="Times New Roman" w:cs="Times New Roman"/>
          <w:sz w:val="24"/>
          <w:szCs w:val="24"/>
        </w:rPr>
        <w:t xml:space="preserve">   </w:t>
      </w:r>
    </w:p>
    <w:p w:rsidR="00931C42" w:rsidRPr="00931C42" w:rsidRDefault="00EF61E0" w:rsidP="00931C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column"/>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tabs>
          <w:tab w:val="left" w:pos="0"/>
        </w:tabs>
        <w:spacing w:after="0" w:line="240" w:lineRule="auto"/>
        <w:contextualSpacing/>
        <w:jc w:val="both"/>
        <w:rPr>
          <w:rFonts w:ascii="Times New Roman" w:hAnsi="Times New Roman" w:cs="Times New Roman"/>
          <w:b/>
          <w:sz w:val="28"/>
          <w:szCs w:val="28"/>
        </w:rPr>
      </w:pPr>
      <w:r w:rsidRPr="00931C42">
        <w:rPr>
          <w:rFonts w:ascii="Times New Roman" w:hAnsi="Times New Roman" w:cs="Times New Roman"/>
          <w:b/>
          <w:sz w:val="28"/>
          <w:szCs w:val="28"/>
        </w:rPr>
        <w:t>2. Hlavné ukazovatele vývoja podnikateľského prostredia v SR</w:t>
      </w:r>
    </w:p>
    <w:p w:rsidR="00931C42" w:rsidRPr="00931C42" w:rsidRDefault="00931C42" w:rsidP="00931C42">
      <w:pPr>
        <w:tabs>
          <w:tab w:val="left" w:pos="0"/>
        </w:tabs>
        <w:spacing w:after="0" w:line="240" w:lineRule="auto"/>
        <w:contextualSpacing/>
        <w:jc w:val="both"/>
        <w:rPr>
          <w:rFonts w:ascii="Times New Roman" w:hAnsi="Times New Roman" w:cs="Times New Roman"/>
          <w:b/>
          <w:sz w:val="24"/>
          <w:szCs w:val="24"/>
        </w:rPr>
      </w:pPr>
    </w:p>
    <w:p w:rsidR="00931C42" w:rsidRPr="00931C42" w:rsidRDefault="00931C42" w:rsidP="00931C42">
      <w:pPr>
        <w:spacing w:after="0" w:line="240" w:lineRule="auto"/>
        <w:contextualSpacing/>
        <w:jc w:val="both"/>
        <w:rPr>
          <w:rFonts w:ascii="Times New Roman" w:hAnsi="Times New Roman" w:cs="Times New Roman"/>
          <w:b/>
          <w:sz w:val="24"/>
          <w:szCs w:val="24"/>
        </w:rPr>
      </w:pPr>
      <w:r w:rsidRPr="001C52C2">
        <w:rPr>
          <w:rFonts w:ascii="Times New Roman" w:hAnsi="Times New Roman" w:cs="Times New Roman"/>
          <w:b/>
          <w:sz w:val="24"/>
          <w:szCs w:val="24"/>
        </w:rPr>
        <w:t xml:space="preserve">2.1 </w:t>
      </w:r>
      <w:r w:rsidRPr="00931C42">
        <w:rPr>
          <w:rFonts w:ascii="Times New Roman" w:hAnsi="Times New Roman" w:cs="Times New Roman"/>
          <w:b/>
          <w:sz w:val="24"/>
          <w:szCs w:val="24"/>
        </w:rPr>
        <w:t>V</w:t>
      </w:r>
      <w:r w:rsidR="0049004D">
        <w:rPr>
          <w:rFonts w:ascii="Times New Roman" w:hAnsi="Times New Roman" w:cs="Times New Roman"/>
          <w:b/>
          <w:sz w:val="24"/>
          <w:szCs w:val="24"/>
        </w:rPr>
        <w:t>ývoj HDP</w:t>
      </w:r>
    </w:p>
    <w:p w:rsidR="00931C42" w:rsidRPr="00931C42" w:rsidRDefault="00931C42" w:rsidP="00931C42">
      <w:pPr>
        <w:spacing w:after="0" w:line="240" w:lineRule="auto"/>
        <w:ind w:left="142"/>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Rast </w:t>
      </w:r>
      <w:r w:rsidR="000564D1">
        <w:rPr>
          <w:rFonts w:ascii="Times New Roman" w:hAnsi="Times New Roman" w:cs="Times New Roman"/>
          <w:sz w:val="24"/>
          <w:szCs w:val="24"/>
        </w:rPr>
        <w:t xml:space="preserve">ekonomiky Slovenska </w:t>
      </w:r>
      <w:r w:rsidRPr="00931C42">
        <w:rPr>
          <w:rFonts w:ascii="Times New Roman" w:hAnsi="Times New Roman" w:cs="Times New Roman"/>
          <w:sz w:val="24"/>
          <w:szCs w:val="24"/>
        </w:rPr>
        <w:t xml:space="preserve">sa priblížil k priemeru únie. Napriek tomu Slovensko v tempe hospodárskeho rastu stále patrí medzi najrýchlejšie </w:t>
      </w:r>
      <w:r w:rsidR="008370C8">
        <w:rPr>
          <w:rFonts w:ascii="Times New Roman" w:hAnsi="Times New Roman" w:cs="Times New Roman"/>
          <w:sz w:val="24"/>
          <w:szCs w:val="24"/>
        </w:rPr>
        <w:t xml:space="preserve">rastúce </w:t>
      </w:r>
      <w:r w:rsidRPr="00931C42">
        <w:rPr>
          <w:rFonts w:ascii="Times New Roman" w:hAnsi="Times New Roman" w:cs="Times New Roman"/>
          <w:sz w:val="24"/>
          <w:szCs w:val="24"/>
        </w:rPr>
        <w:t xml:space="preserve">krajiny EÚ. </w:t>
      </w:r>
    </w:p>
    <w:p w:rsidR="00931C42" w:rsidRPr="00931C42" w:rsidRDefault="00931C42" w:rsidP="00931C42">
      <w:pPr>
        <w:spacing w:after="0" w:line="240" w:lineRule="auto"/>
        <w:jc w:val="both"/>
        <w:rPr>
          <w:rFonts w:ascii="Times New Roman" w:hAnsi="Times New Roman" w:cs="Times New Roman"/>
          <w:sz w:val="20"/>
          <w:szCs w:val="20"/>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2.1.1 Vývoj rastu HDP</w:t>
      </w:r>
    </w:p>
    <w:p w:rsidR="00931C42" w:rsidRPr="00931C42" w:rsidRDefault="00931C42" w:rsidP="00931C42">
      <w:pPr>
        <w:spacing w:after="0" w:line="240" w:lineRule="auto"/>
        <w:jc w:val="both"/>
        <w:rPr>
          <w:rFonts w:ascii="Times New Roman" w:hAnsi="Times New Roman" w:cs="Times New Roman"/>
          <w:sz w:val="24"/>
          <w:szCs w:val="24"/>
        </w:rPr>
      </w:pPr>
      <w:r w:rsidRPr="00931C42">
        <w:rPr>
          <w:noProof/>
          <w:lang w:eastAsia="sk-SK"/>
        </w:rPr>
        <w:drawing>
          <wp:inline distT="0" distB="0" distL="0" distR="0" wp14:anchorId="36ABF88D" wp14:editId="7E6B04AC">
            <wp:extent cx="4770782" cy="2003728"/>
            <wp:effectExtent l="0" t="0" r="10795" b="15875"/>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p>
    <w:p w:rsidR="00931C42" w:rsidRPr="00931C42" w:rsidRDefault="00931C42" w:rsidP="00931C42">
      <w:pPr>
        <w:spacing w:after="0" w:line="240" w:lineRule="auto"/>
        <w:jc w:val="both"/>
        <w:rPr>
          <w:rFonts w:ascii="Times New Roman" w:eastAsia="Times New Roman" w:hAnsi="Times New Roman" w:cs="Times New Roman"/>
          <w:sz w:val="24"/>
          <w:szCs w:val="24"/>
          <w:lang w:eastAsia="sk-SK"/>
        </w:rPr>
      </w:pPr>
      <w:r w:rsidRPr="00931C42">
        <w:rPr>
          <w:rFonts w:ascii="Times New Roman" w:eastAsia="Times New Roman" w:hAnsi="Times New Roman" w:cs="Times New Roman"/>
          <w:sz w:val="24"/>
          <w:szCs w:val="24"/>
          <w:lang w:eastAsia="sk-SK"/>
        </w:rPr>
        <w:tab/>
      </w:r>
    </w:p>
    <w:p w:rsidR="00931C42" w:rsidRDefault="00931C42" w:rsidP="00931C42">
      <w:pPr>
        <w:spacing w:after="0" w:line="240" w:lineRule="auto"/>
        <w:jc w:val="both"/>
        <w:rPr>
          <w:rFonts w:ascii="Times New Roman" w:eastAsia="Times New Roman" w:hAnsi="Times New Roman" w:cs="Times New Roman"/>
          <w:sz w:val="24"/>
          <w:szCs w:val="24"/>
          <w:lang w:eastAsia="sk-SK"/>
        </w:rPr>
      </w:pPr>
      <w:r w:rsidRPr="00931C42">
        <w:rPr>
          <w:rFonts w:ascii="Times New Roman" w:eastAsia="Times New Roman" w:hAnsi="Times New Roman" w:cs="Times New Roman"/>
          <w:sz w:val="24"/>
          <w:szCs w:val="24"/>
          <w:lang w:eastAsia="sk-SK"/>
        </w:rPr>
        <w:tab/>
        <w:t xml:space="preserve">V </w:t>
      </w:r>
      <w:r w:rsidR="00325440">
        <w:rPr>
          <w:rFonts w:ascii="Times New Roman" w:eastAsia="Times New Roman" w:hAnsi="Times New Roman" w:cs="Times New Roman"/>
          <w:sz w:val="24"/>
          <w:szCs w:val="24"/>
          <w:lang w:eastAsia="sk-SK"/>
        </w:rPr>
        <w:t>4.</w:t>
      </w:r>
      <w:r w:rsidR="00325440" w:rsidRPr="00931C42">
        <w:rPr>
          <w:rFonts w:ascii="Times New Roman" w:eastAsia="Times New Roman" w:hAnsi="Times New Roman" w:cs="Times New Roman"/>
          <w:sz w:val="24"/>
          <w:szCs w:val="24"/>
          <w:lang w:eastAsia="sk-SK"/>
        </w:rPr>
        <w:t xml:space="preserve"> </w:t>
      </w:r>
      <w:r w:rsidRPr="00931C42">
        <w:rPr>
          <w:rFonts w:ascii="Times New Roman" w:eastAsia="Times New Roman" w:hAnsi="Times New Roman" w:cs="Times New Roman"/>
          <w:sz w:val="24"/>
          <w:szCs w:val="24"/>
          <w:lang w:eastAsia="sk-SK"/>
        </w:rPr>
        <w:t>štvrťroku 2015 SR výrazne zvýšila tempo</w:t>
      </w:r>
      <w:r w:rsidR="00563DF8">
        <w:rPr>
          <w:rFonts w:ascii="Times New Roman" w:eastAsia="Times New Roman" w:hAnsi="Times New Roman" w:cs="Times New Roman"/>
          <w:sz w:val="24"/>
          <w:szCs w:val="24"/>
          <w:lang w:eastAsia="sk-SK"/>
        </w:rPr>
        <w:t xml:space="preserve"> rastu HDP</w:t>
      </w:r>
      <w:r w:rsidRPr="00931C42">
        <w:rPr>
          <w:rFonts w:ascii="Times New Roman" w:eastAsia="Times New Roman" w:hAnsi="Times New Roman" w:cs="Times New Roman"/>
          <w:sz w:val="24"/>
          <w:szCs w:val="24"/>
          <w:lang w:eastAsia="sk-SK"/>
        </w:rPr>
        <w:t>. HDP v stálych cenách vzrástol v porovnaní so 4. štvrťrokom 2014 o 4,</w:t>
      </w:r>
      <w:r w:rsidR="00363DB6">
        <w:rPr>
          <w:rFonts w:ascii="Times New Roman" w:eastAsia="Times New Roman" w:hAnsi="Times New Roman" w:cs="Times New Roman"/>
          <w:sz w:val="24"/>
          <w:szCs w:val="24"/>
          <w:lang w:eastAsia="sk-SK"/>
        </w:rPr>
        <w:t>1</w:t>
      </w:r>
      <w:r w:rsidRPr="00931C42">
        <w:rPr>
          <w:rFonts w:ascii="Times New Roman" w:eastAsia="Times New Roman" w:hAnsi="Times New Roman" w:cs="Times New Roman"/>
          <w:sz w:val="24"/>
          <w:szCs w:val="24"/>
          <w:lang w:eastAsia="sk-SK"/>
        </w:rPr>
        <w:t xml:space="preserve"> %. V bežných cenách sa vytvoril v objeme 20 156,5 mil. €, čo predstavuje nárast o 4,1 % oproti 4. štvrťroku 2014. V 3. štvrťroku </w:t>
      </w:r>
      <w:r w:rsidR="00363DB6">
        <w:rPr>
          <w:rFonts w:ascii="Times New Roman" w:eastAsia="Times New Roman" w:hAnsi="Times New Roman" w:cs="Times New Roman"/>
          <w:sz w:val="24"/>
          <w:szCs w:val="24"/>
          <w:lang w:eastAsia="sk-SK"/>
        </w:rPr>
        <w:t xml:space="preserve">2015 </w:t>
      </w:r>
      <w:r w:rsidRPr="00931C42">
        <w:rPr>
          <w:rFonts w:ascii="Times New Roman" w:eastAsia="Times New Roman" w:hAnsi="Times New Roman" w:cs="Times New Roman"/>
          <w:sz w:val="24"/>
          <w:szCs w:val="24"/>
          <w:lang w:eastAsia="sk-SK"/>
        </w:rPr>
        <w:t>slovenská ekonomika v stálych cenách medziročne rástla o 3,6 %.</w:t>
      </w:r>
    </w:p>
    <w:p w:rsidR="00931C42" w:rsidRPr="00931C42" w:rsidRDefault="00931C42" w:rsidP="00931C42">
      <w:pPr>
        <w:spacing w:after="0" w:line="240" w:lineRule="auto"/>
        <w:ind w:firstLine="708"/>
        <w:jc w:val="both"/>
        <w:rPr>
          <w:rFonts w:ascii="Times New Roman" w:eastAsia="Times New Roman" w:hAnsi="Times New Roman" w:cs="Times New Roman"/>
          <w:b/>
          <w:sz w:val="24"/>
          <w:szCs w:val="24"/>
          <w:lang w:eastAsia="sk-SK"/>
        </w:rPr>
      </w:pPr>
      <w:r w:rsidRPr="00931C42">
        <w:rPr>
          <w:rFonts w:ascii="Times New Roman" w:eastAsia="Times New Roman" w:hAnsi="Times New Roman" w:cs="Times New Roman"/>
          <w:sz w:val="24"/>
          <w:szCs w:val="24"/>
          <w:lang w:eastAsia="sk-SK"/>
        </w:rPr>
        <w:t>Rast bol podporený podobne ako v predchádzajúcich štvrťrokoch domácimi faktormi na čele s investíciami a spotrebou domácností.</w:t>
      </w:r>
      <w:r w:rsidR="008370C8">
        <w:rPr>
          <w:rFonts w:ascii="Times New Roman" w:eastAsiaTheme="majorEastAsia" w:hAnsi="Times New Roman" w:cs="Times New Roman"/>
          <w:bCs/>
          <w:sz w:val="24"/>
          <w:szCs w:val="24"/>
          <w:lang w:eastAsia="sk-SK"/>
        </w:rPr>
        <w:t xml:space="preserve"> </w:t>
      </w:r>
      <w:r w:rsidRPr="00931C42">
        <w:rPr>
          <w:rFonts w:ascii="Times New Roman" w:eastAsiaTheme="majorEastAsia" w:hAnsi="Times New Roman" w:cs="Times New Roman"/>
          <w:bCs/>
          <w:sz w:val="24"/>
          <w:szCs w:val="24"/>
          <w:lang w:eastAsia="sk-SK"/>
        </w:rPr>
        <w:t xml:space="preserve">Podľa údajov, ktoré v novembri t. r. zverejnil Štatistický úrad SR bol rast Slovenskej ekonomiky v treťom kvartáli </w:t>
      </w:r>
      <w:r w:rsidR="00BF6015">
        <w:rPr>
          <w:rFonts w:ascii="Times New Roman" w:eastAsiaTheme="majorEastAsia" w:hAnsi="Times New Roman" w:cs="Times New Roman"/>
          <w:bCs/>
          <w:sz w:val="24"/>
          <w:szCs w:val="24"/>
          <w:lang w:eastAsia="sk-SK"/>
        </w:rPr>
        <w:t xml:space="preserve">2016 </w:t>
      </w:r>
      <w:r w:rsidRPr="00931C42">
        <w:rPr>
          <w:rFonts w:ascii="Times New Roman" w:eastAsiaTheme="majorEastAsia" w:hAnsi="Times New Roman" w:cs="Times New Roman"/>
          <w:bCs/>
          <w:sz w:val="24"/>
          <w:szCs w:val="24"/>
          <w:lang w:eastAsia="sk-SK"/>
        </w:rPr>
        <w:t>3 % medziročne. Oproti predošlému kvartálu ide o spomalenie o </w:t>
      </w:r>
      <w:r w:rsidR="000C7B31">
        <w:rPr>
          <w:rFonts w:ascii="Times New Roman" w:eastAsiaTheme="majorEastAsia" w:hAnsi="Times New Roman" w:cs="Times New Roman"/>
          <w:bCs/>
          <w:sz w:val="24"/>
          <w:szCs w:val="24"/>
          <w:lang w:eastAsia="sk-SK"/>
        </w:rPr>
        <w:t>7</w:t>
      </w:r>
      <w:r w:rsidRPr="00931C42">
        <w:rPr>
          <w:rFonts w:ascii="Times New Roman" w:eastAsiaTheme="majorEastAsia" w:hAnsi="Times New Roman" w:cs="Times New Roman"/>
          <w:bCs/>
          <w:sz w:val="24"/>
          <w:szCs w:val="24"/>
          <w:lang w:eastAsia="sk-SK"/>
        </w:rPr>
        <w:t> p</w:t>
      </w:r>
      <w:r w:rsidR="006E5A38">
        <w:rPr>
          <w:rFonts w:ascii="Times New Roman" w:eastAsiaTheme="majorEastAsia" w:hAnsi="Times New Roman" w:cs="Times New Roman"/>
          <w:bCs/>
          <w:sz w:val="24"/>
          <w:szCs w:val="24"/>
          <w:lang w:eastAsia="sk-SK"/>
        </w:rPr>
        <w:t>ercentuálneho bodu</w:t>
      </w:r>
      <w:r w:rsidRPr="00931C42">
        <w:rPr>
          <w:rFonts w:ascii="Times New Roman" w:eastAsiaTheme="majorEastAsia" w:hAnsi="Times New Roman" w:cs="Times New Roman"/>
          <w:bCs/>
          <w:sz w:val="24"/>
          <w:szCs w:val="24"/>
          <w:lang w:eastAsia="sk-SK"/>
        </w:rPr>
        <w:t>.</w:t>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Vývoj cien elektriny a plynu</w:t>
      </w:r>
    </w:p>
    <w:p w:rsidR="00931C42" w:rsidRPr="00931C42" w:rsidRDefault="00931C42"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ab/>
        <w:t xml:space="preserve">Ceny elektriny pre </w:t>
      </w:r>
      <w:r w:rsidR="00C664FB">
        <w:rPr>
          <w:rFonts w:ascii="Times New Roman" w:hAnsi="Times New Roman" w:cs="Times New Roman"/>
          <w:sz w:val="24"/>
          <w:szCs w:val="24"/>
        </w:rPr>
        <w:t>priemysel</w:t>
      </w:r>
      <w:r w:rsidR="00C664FB" w:rsidRPr="00931C42">
        <w:rPr>
          <w:rFonts w:ascii="Times New Roman" w:hAnsi="Times New Roman" w:cs="Times New Roman"/>
          <w:sz w:val="24"/>
          <w:szCs w:val="24"/>
        </w:rPr>
        <w:t xml:space="preserve"> </w:t>
      </w:r>
      <w:r w:rsidRPr="00931C42">
        <w:rPr>
          <w:rFonts w:ascii="Times New Roman" w:hAnsi="Times New Roman" w:cs="Times New Roman"/>
          <w:sz w:val="24"/>
          <w:szCs w:val="24"/>
        </w:rPr>
        <w:t>v </w:t>
      </w:r>
      <w:r w:rsidR="00485F63">
        <w:rPr>
          <w:rFonts w:ascii="Times New Roman" w:hAnsi="Times New Roman" w:cs="Times New Roman"/>
          <w:sz w:val="24"/>
          <w:szCs w:val="24"/>
        </w:rPr>
        <w:t>ostat</w:t>
      </w:r>
      <w:r w:rsidR="00485F63" w:rsidRPr="00931C42">
        <w:rPr>
          <w:rFonts w:ascii="Times New Roman" w:hAnsi="Times New Roman" w:cs="Times New Roman"/>
          <w:sz w:val="24"/>
          <w:szCs w:val="24"/>
        </w:rPr>
        <w:t xml:space="preserve">ných </w:t>
      </w:r>
      <w:r w:rsidRPr="00931C42">
        <w:rPr>
          <w:rFonts w:ascii="Times New Roman" w:hAnsi="Times New Roman" w:cs="Times New Roman"/>
          <w:sz w:val="24"/>
          <w:szCs w:val="24"/>
        </w:rPr>
        <w:t>rokoch klesajú</w:t>
      </w:r>
      <w:r w:rsidR="004614EC">
        <w:rPr>
          <w:rFonts w:ascii="Times New Roman" w:hAnsi="Times New Roman" w:cs="Times New Roman"/>
          <w:sz w:val="24"/>
          <w:szCs w:val="24"/>
        </w:rPr>
        <w:t xml:space="preserve"> (viď graf </w:t>
      </w:r>
      <w:r w:rsidR="009E1E12">
        <w:rPr>
          <w:rFonts w:ascii="Times New Roman" w:hAnsi="Times New Roman" w:cs="Times New Roman"/>
          <w:sz w:val="24"/>
          <w:szCs w:val="24"/>
        </w:rPr>
        <w:t>2.1.2</w:t>
      </w:r>
      <w:r w:rsidR="004614EC">
        <w:rPr>
          <w:rFonts w:ascii="Times New Roman" w:hAnsi="Times New Roman" w:cs="Times New Roman"/>
          <w:sz w:val="24"/>
          <w:szCs w:val="24"/>
        </w:rPr>
        <w:t>)</w:t>
      </w:r>
      <w:r w:rsidRPr="00931C42">
        <w:rPr>
          <w:rFonts w:ascii="Times New Roman" w:hAnsi="Times New Roman" w:cs="Times New Roman"/>
          <w:sz w:val="24"/>
          <w:szCs w:val="24"/>
        </w:rPr>
        <w:t xml:space="preserve">. Dôvodom je pokles cien na burze, ako aj zníženie sieťových poplatkov. Podobný je vývoj cien plynu, kedy možno konštatovať, že ceny plynu pre </w:t>
      </w:r>
      <w:r w:rsidR="00C664FB">
        <w:rPr>
          <w:rFonts w:ascii="Times New Roman" w:hAnsi="Times New Roman" w:cs="Times New Roman"/>
          <w:sz w:val="24"/>
          <w:szCs w:val="24"/>
        </w:rPr>
        <w:t>priemysel</w:t>
      </w:r>
      <w:r w:rsidRPr="00931C42">
        <w:rPr>
          <w:rFonts w:ascii="Times New Roman" w:hAnsi="Times New Roman" w:cs="Times New Roman"/>
          <w:sz w:val="24"/>
          <w:szCs w:val="24"/>
        </w:rPr>
        <w:t xml:space="preserve"> klesajú. Porovnaním koncových cien elektriny, resp. plynu, t.</w:t>
      </w:r>
      <w:r w:rsidR="00610FD1">
        <w:rPr>
          <w:rFonts w:ascii="Times New Roman" w:hAnsi="Times New Roman" w:cs="Times New Roman"/>
          <w:sz w:val="24"/>
          <w:szCs w:val="24"/>
        </w:rPr>
        <w:t> </w:t>
      </w:r>
      <w:r w:rsidRPr="00931C42">
        <w:rPr>
          <w:rFonts w:ascii="Times New Roman" w:hAnsi="Times New Roman" w:cs="Times New Roman"/>
          <w:sz w:val="24"/>
          <w:szCs w:val="24"/>
        </w:rPr>
        <w:t xml:space="preserve">j. cien vrátane daní a poplatkov možno Slovensko považovať z pohľadu cien elektriny, ako aj plynu pre priemysel za priemer EÚ. </w:t>
      </w:r>
    </w:p>
    <w:p w:rsidR="00931C42" w:rsidRPr="00931C42" w:rsidRDefault="00931C42" w:rsidP="00931C42">
      <w:p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tab/>
        <w:t xml:space="preserve">Slovensko poukazovalo v posledných rokoch na </w:t>
      </w:r>
      <w:proofErr w:type="spellStart"/>
      <w:r w:rsidRPr="00931C42">
        <w:rPr>
          <w:rFonts w:ascii="Times New Roman" w:hAnsi="Times New Roman" w:cs="Times New Roman"/>
          <w:sz w:val="24"/>
          <w:szCs w:val="24"/>
        </w:rPr>
        <w:t>nekonzistentnosť</w:t>
      </w:r>
      <w:proofErr w:type="spellEnd"/>
      <w:r w:rsidRPr="00931C42">
        <w:rPr>
          <w:rFonts w:ascii="Times New Roman" w:hAnsi="Times New Roman" w:cs="Times New Roman"/>
          <w:sz w:val="24"/>
          <w:szCs w:val="24"/>
        </w:rPr>
        <w:t xml:space="preserve"> dát uvádzaných </w:t>
      </w:r>
      <w:proofErr w:type="spellStart"/>
      <w:r w:rsidRPr="00931C42">
        <w:rPr>
          <w:rFonts w:ascii="Times New Roman" w:hAnsi="Times New Roman" w:cs="Times New Roman"/>
          <w:sz w:val="24"/>
          <w:szCs w:val="24"/>
        </w:rPr>
        <w:t>Eurostatom</w:t>
      </w:r>
      <w:proofErr w:type="spellEnd"/>
      <w:r w:rsidRPr="00931C42">
        <w:rPr>
          <w:rFonts w:ascii="Times New Roman" w:hAnsi="Times New Roman" w:cs="Times New Roman"/>
          <w:sz w:val="24"/>
          <w:szCs w:val="24"/>
        </w:rPr>
        <w:t>, ktorý nemá jednotnú metodiku na porovnávanie cien. V tejto súvislosti je potrebné uviesť, že pripravovaná správa Európskej komisie by mala objasniť vývoj cien, ako aj hlavné faktory vývoja. Správa bude pokrývať elektrinu, plyn a ropu; domácnosti aj priemysel. Prvý krát budú ceny energie analyzované podľa viacerých čiastkových komponentov (</w:t>
      </w:r>
      <w:proofErr w:type="spellStart"/>
      <w:r w:rsidRPr="00931C42">
        <w:rPr>
          <w:rFonts w:ascii="Times New Roman" w:hAnsi="Times New Roman" w:cs="Times New Roman"/>
          <w:sz w:val="24"/>
          <w:szCs w:val="24"/>
        </w:rPr>
        <w:t>subcomponents</w:t>
      </w:r>
      <w:proofErr w:type="spellEnd"/>
      <w:r w:rsidRPr="00931C42">
        <w:rPr>
          <w:rFonts w:ascii="Times New Roman" w:hAnsi="Times New Roman" w:cs="Times New Roman"/>
          <w:sz w:val="24"/>
          <w:szCs w:val="24"/>
        </w:rPr>
        <w:t>), pričom sa budú harmonizovaným spôsobom hodnotiť komponenty daní a poplatkov. Tento prístup by mal umožniť lepšie porovnanie cien na úrovni EÚ.  </w:t>
      </w:r>
    </w:p>
    <w:p w:rsidR="00D65CC9" w:rsidRDefault="00D65CC9"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804E7E" w:rsidRDefault="00804E7E" w:rsidP="00931C42">
      <w:pPr>
        <w:spacing w:after="0" w:line="240" w:lineRule="auto"/>
        <w:jc w:val="both"/>
        <w:rPr>
          <w:rFonts w:ascii="Times New Roman" w:hAnsi="Times New Roman" w:cs="Times New Roman"/>
          <w:b/>
          <w:sz w:val="24"/>
          <w:szCs w:val="24"/>
        </w:rPr>
      </w:pPr>
    </w:p>
    <w:p w:rsid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lastRenderedPageBreak/>
        <w:t>Graf 2.1.</w:t>
      </w:r>
      <w:r w:rsidR="009E1E12">
        <w:rPr>
          <w:rFonts w:ascii="Times New Roman" w:hAnsi="Times New Roman" w:cs="Times New Roman"/>
          <w:b/>
          <w:sz w:val="24"/>
          <w:szCs w:val="24"/>
        </w:rPr>
        <w:t>2</w:t>
      </w:r>
      <w:r w:rsidR="009E1E12" w:rsidRPr="00931C42">
        <w:rPr>
          <w:rFonts w:ascii="Times New Roman" w:hAnsi="Times New Roman" w:cs="Times New Roman"/>
          <w:b/>
          <w:sz w:val="24"/>
          <w:szCs w:val="24"/>
        </w:rPr>
        <w:t xml:space="preserve"> </w:t>
      </w:r>
      <w:r w:rsidRPr="00931C42">
        <w:rPr>
          <w:rFonts w:ascii="Times New Roman" w:hAnsi="Times New Roman" w:cs="Times New Roman"/>
          <w:b/>
          <w:sz w:val="24"/>
          <w:szCs w:val="24"/>
        </w:rPr>
        <w:t xml:space="preserve">Vývoj cien elektriny a plynu pre </w:t>
      </w:r>
      <w:r w:rsidR="00A3111F">
        <w:rPr>
          <w:rFonts w:ascii="Times New Roman" w:hAnsi="Times New Roman" w:cs="Times New Roman"/>
          <w:b/>
          <w:sz w:val="24"/>
          <w:szCs w:val="24"/>
        </w:rPr>
        <w:t>priemysel</w:t>
      </w:r>
      <w:r w:rsidR="00A3111F" w:rsidRPr="00931C42">
        <w:rPr>
          <w:rFonts w:ascii="Times New Roman" w:hAnsi="Times New Roman" w:cs="Times New Roman"/>
          <w:b/>
          <w:sz w:val="24"/>
          <w:szCs w:val="24"/>
        </w:rPr>
        <w:t xml:space="preserve"> </w:t>
      </w:r>
      <w:r w:rsidRPr="00931C42">
        <w:rPr>
          <w:rFonts w:ascii="Times New Roman" w:hAnsi="Times New Roman" w:cs="Times New Roman"/>
          <w:b/>
          <w:sz w:val="24"/>
          <w:szCs w:val="24"/>
        </w:rPr>
        <w:t>na Slovensku za obdobie 2007 – 2016</w:t>
      </w:r>
    </w:p>
    <w:p w:rsidR="00804E7E" w:rsidRDefault="00804E7E" w:rsidP="00804E7E">
      <w:pPr>
        <w:spacing w:after="0" w:line="240" w:lineRule="auto"/>
        <w:rPr>
          <w:rFonts w:ascii="Times New Roman" w:hAnsi="Times New Roman" w:cs="Times New Roman"/>
          <w:bCs/>
          <w:i/>
          <w:sz w:val="24"/>
          <w:szCs w:val="24"/>
        </w:rPr>
      </w:pPr>
    </w:p>
    <w:p w:rsidR="00931C42" w:rsidRPr="00931C42" w:rsidRDefault="000564D1" w:rsidP="00804E7E">
      <w:pPr>
        <w:spacing w:after="0" w:line="240" w:lineRule="auto"/>
        <w:rPr>
          <w:rFonts w:ascii="Times New Roman" w:hAnsi="Times New Roman" w:cs="Times New Roman"/>
          <w:sz w:val="24"/>
          <w:szCs w:val="24"/>
        </w:rPr>
      </w:pPr>
      <w:r w:rsidRPr="00804E7E">
        <w:rPr>
          <w:rFonts w:ascii="Times New Roman" w:hAnsi="Times New Roman" w:cs="Times New Roman"/>
          <w:bCs/>
          <w:i/>
          <w:sz w:val="24"/>
          <w:szCs w:val="24"/>
        </w:rPr>
        <w:t>Vývoj ceny elektriny pre priemysel (€/</w:t>
      </w:r>
      <w:proofErr w:type="spellStart"/>
      <w:r w:rsidRPr="00804E7E">
        <w:rPr>
          <w:rFonts w:ascii="Times New Roman" w:hAnsi="Times New Roman" w:cs="Times New Roman"/>
          <w:bCs/>
          <w:i/>
          <w:sz w:val="24"/>
          <w:szCs w:val="24"/>
        </w:rPr>
        <w:t>kWh</w:t>
      </w:r>
      <w:proofErr w:type="spellEnd"/>
      <w:r w:rsidRPr="00804E7E">
        <w:rPr>
          <w:rFonts w:ascii="Times New Roman" w:hAnsi="Times New Roman" w:cs="Times New Roman"/>
          <w:bCs/>
          <w:i/>
          <w:sz w:val="24"/>
          <w:szCs w:val="24"/>
        </w:rPr>
        <w:t xml:space="preserve">) spotreba 2 000 - 20 000 </w:t>
      </w:r>
      <w:proofErr w:type="spellStart"/>
      <w:r w:rsidRPr="00804E7E">
        <w:rPr>
          <w:rFonts w:ascii="Times New Roman" w:hAnsi="Times New Roman" w:cs="Times New Roman"/>
          <w:bCs/>
          <w:i/>
          <w:sz w:val="24"/>
          <w:szCs w:val="24"/>
        </w:rPr>
        <w:t>MWh</w:t>
      </w:r>
      <w:proofErr w:type="spellEnd"/>
      <w:r w:rsidR="00931C42" w:rsidRPr="00931C42">
        <w:rPr>
          <w:rFonts w:ascii="Times New Roman" w:hAnsi="Times New Roman" w:cs="Times New Roman"/>
          <w:noProof/>
          <w:sz w:val="24"/>
          <w:szCs w:val="24"/>
          <w:lang w:eastAsia="sk-SK"/>
        </w:rPr>
        <w:drawing>
          <wp:inline distT="0" distB="0" distL="0" distR="0" wp14:anchorId="00BC556B" wp14:editId="542594E1">
            <wp:extent cx="4805464" cy="2091446"/>
            <wp:effectExtent l="0" t="0" r="14605" b="23495"/>
            <wp:docPr id="2051" name="Graf 20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31C42" w:rsidRPr="00931C42" w:rsidRDefault="00931C42" w:rsidP="00931C42">
      <w:pPr>
        <w:spacing w:after="0" w:line="240" w:lineRule="auto"/>
        <w:jc w:val="both"/>
        <w:rPr>
          <w:rFonts w:ascii="Times New Roman" w:hAnsi="Times New Roman" w:cs="Times New Roman"/>
          <w:sz w:val="20"/>
          <w:szCs w:val="24"/>
        </w:rPr>
      </w:pPr>
      <w:r w:rsidRPr="00931C42">
        <w:rPr>
          <w:rFonts w:ascii="Times New Roman" w:hAnsi="Times New Roman" w:cs="Times New Roman"/>
          <w:sz w:val="20"/>
          <w:szCs w:val="24"/>
        </w:rPr>
        <w:t xml:space="preserve">Zdroj: </w:t>
      </w:r>
      <w:proofErr w:type="spellStart"/>
      <w:r w:rsidRPr="00931C42">
        <w:rPr>
          <w:rFonts w:ascii="Times New Roman" w:hAnsi="Times New Roman" w:cs="Times New Roman"/>
          <w:sz w:val="20"/>
          <w:szCs w:val="24"/>
        </w:rPr>
        <w:t>Eurostat</w:t>
      </w:r>
      <w:proofErr w:type="spellEnd"/>
    </w:p>
    <w:p w:rsidR="000564D1" w:rsidRDefault="000564D1" w:rsidP="00804E7E">
      <w:pPr>
        <w:spacing w:after="0" w:line="240" w:lineRule="auto"/>
        <w:ind w:left="142"/>
        <w:jc w:val="both"/>
        <w:rPr>
          <w:rFonts w:ascii="Times New Roman" w:hAnsi="Times New Roman" w:cs="Times New Roman"/>
          <w:bCs/>
          <w:i/>
          <w:sz w:val="24"/>
          <w:szCs w:val="24"/>
        </w:rPr>
      </w:pPr>
    </w:p>
    <w:p w:rsidR="00931C42" w:rsidRPr="00804E7E" w:rsidRDefault="000564D1" w:rsidP="00804E7E">
      <w:pPr>
        <w:spacing w:after="0" w:line="240" w:lineRule="auto"/>
        <w:jc w:val="both"/>
        <w:rPr>
          <w:rFonts w:ascii="Times New Roman" w:hAnsi="Times New Roman" w:cs="Times New Roman"/>
          <w:i/>
          <w:sz w:val="24"/>
          <w:szCs w:val="24"/>
        </w:rPr>
      </w:pPr>
      <w:r w:rsidRPr="00804E7E">
        <w:rPr>
          <w:rFonts w:ascii="Times New Roman" w:hAnsi="Times New Roman" w:cs="Times New Roman"/>
          <w:bCs/>
          <w:i/>
          <w:sz w:val="24"/>
          <w:szCs w:val="24"/>
        </w:rPr>
        <w:t>Vývoj ceny plynu pre priemysel (€/</w:t>
      </w:r>
      <w:proofErr w:type="spellStart"/>
      <w:r w:rsidRPr="00804E7E">
        <w:rPr>
          <w:rFonts w:ascii="Times New Roman" w:hAnsi="Times New Roman" w:cs="Times New Roman"/>
          <w:bCs/>
          <w:i/>
          <w:sz w:val="24"/>
          <w:szCs w:val="24"/>
        </w:rPr>
        <w:t>kWh</w:t>
      </w:r>
      <w:proofErr w:type="spellEnd"/>
      <w:r w:rsidRPr="00804E7E">
        <w:rPr>
          <w:rFonts w:ascii="Times New Roman" w:hAnsi="Times New Roman" w:cs="Times New Roman"/>
          <w:bCs/>
          <w:i/>
          <w:sz w:val="24"/>
          <w:szCs w:val="24"/>
        </w:rPr>
        <w:t>) spotreba 10 000 - 100 000 GJ</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noProof/>
          <w:sz w:val="24"/>
          <w:szCs w:val="24"/>
          <w:lang w:eastAsia="sk-SK"/>
        </w:rPr>
        <w:drawing>
          <wp:inline distT="0" distB="0" distL="0" distR="0" wp14:anchorId="40CD5F9E" wp14:editId="21DA1A93">
            <wp:extent cx="4814048" cy="1694329"/>
            <wp:effectExtent l="0" t="0" r="24765" b="20320"/>
            <wp:docPr id="2053" name="Graf 20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31C42" w:rsidRPr="00931C42" w:rsidRDefault="00931C42" w:rsidP="00931C42">
      <w:pPr>
        <w:spacing w:after="12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p>
    <w:p w:rsidR="00931C42" w:rsidRPr="00931C42" w:rsidRDefault="00931C42" w:rsidP="00931C42">
      <w:pPr>
        <w:spacing w:after="120" w:line="240" w:lineRule="auto"/>
        <w:jc w:val="both"/>
        <w:rPr>
          <w:rFonts w:ascii="Times New Roman" w:hAnsi="Times New Roman" w:cs="Times New Roman"/>
          <w:b/>
          <w:sz w:val="20"/>
          <w:szCs w:val="20"/>
        </w:rPr>
      </w:pPr>
    </w:p>
    <w:p w:rsid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2.1.</w:t>
      </w:r>
      <w:r w:rsidR="009E1E12">
        <w:rPr>
          <w:rFonts w:ascii="Times New Roman" w:hAnsi="Times New Roman" w:cs="Times New Roman"/>
          <w:b/>
          <w:sz w:val="24"/>
          <w:szCs w:val="24"/>
        </w:rPr>
        <w:t>3</w:t>
      </w:r>
      <w:r w:rsidR="009E1E12" w:rsidRPr="00931C42">
        <w:rPr>
          <w:rFonts w:ascii="Times New Roman" w:hAnsi="Times New Roman" w:cs="Times New Roman"/>
          <w:b/>
          <w:sz w:val="24"/>
          <w:szCs w:val="24"/>
        </w:rPr>
        <w:t xml:space="preserve"> </w:t>
      </w:r>
      <w:r w:rsidRPr="00931C42">
        <w:rPr>
          <w:rFonts w:ascii="Times New Roman" w:hAnsi="Times New Roman" w:cs="Times New Roman"/>
          <w:b/>
          <w:sz w:val="24"/>
          <w:szCs w:val="24"/>
        </w:rPr>
        <w:t xml:space="preserve">Porovnanie cien elektriny a plynu pre </w:t>
      </w:r>
      <w:r w:rsidR="00C664FB">
        <w:rPr>
          <w:rFonts w:ascii="Times New Roman" w:hAnsi="Times New Roman" w:cs="Times New Roman"/>
          <w:b/>
          <w:sz w:val="24"/>
          <w:szCs w:val="24"/>
        </w:rPr>
        <w:t xml:space="preserve">priemysel </w:t>
      </w:r>
      <w:r w:rsidRPr="00931C42">
        <w:rPr>
          <w:rFonts w:ascii="Times New Roman" w:hAnsi="Times New Roman" w:cs="Times New Roman"/>
          <w:b/>
          <w:sz w:val="24"/>
          <w:szCs w:val="24"/>
        </w:rPr>
        <w:t>v rámci V4</w:t>
      </w:r>
    </w:p>
    <w:p w:rsidR="000564D1" w:rsidRDefault="000564D1" w:rsidP="000564D1">
      <w:pPr>
        <w:spacing w:after="0" w:line="240" w:lineRule="auto"/>
        <w:jc w:val="both"/>
        <w:rPr>
          <w:rFonts w:ascii="Times New Roman" w:hAnsi="Times New Roman" w:cs="Times New Roman"/>
          <w:bCs/>
          <w:i/>
          <w:sz w:val="24"/>
          <w:szCs w:val="24"/>
        </w:rPr>
      </w:pPr>
    </w:p>
    <w:p w:rsidR="000564D1" w:rsidRPr="00804E7E" w:rsidRDefault="000564D1" w:rsidP="000564D1">
      <w:pPr>
        <w:spacing w:after="0" w:line="240" w:lineRule="auto"/>
        <w:jc w:val="both"/>
        <w:rPr>
          <w:rFonts w:ascii="Times New Roman" w:hAnsi="Times New Roman" w:cs="Times New Roman"/>
          <w:i/>
          <w:sz w:val="24"/>
          <w:szCs w:val="24"/>
        </w:rPr>
      </w:pPr>
      <w:r w:rsidRPr="00804E7E">
        <w:rPr>
          <w:rFonts w:ascii="Times New Roman" w:hAnsi="Times New Roman" w:cs="Times New Roman"/>
          <w:bCs/>
          <w:i/>
          <w:sz w:val="24"/>
          <w:szCs w:val="24"/>
        </w:rPr>
        <w:t>Cena elektriny pre priemysel, rok 2015 (€/</w:t>
      </w:r>
      <w:proofErr w:type="spellStart"/>
      <w:r w:rsidRPr="00804E7E">
        <w:rPr>
          <w:rFonts w:ascii="Times New Roman" w:hAnsi="Times New Roman" w:cs="Times New Roman"/>
          <w:bCs/>
          <w:i/>
          <w:sz w:val="24"/>
          <w:szCs w:val="24"/>
        </w:rPr>
        <w:t>kWh</w:t>
      </w:r>
      <w:proofErr w:type="spellEnd"/>
      <w:r w:rsidRPr="00804E7E">
        <w:rPr>
          <w:rFonts w:ascii="Times New Roman" w:hAnsi="Times New Roman" w:cs="Times New Roman"/>
          <w:bCs/>
          <w:i/>
          <w:sz w:val="24"/>
          <w:szCs w:val="24"/>
        </w:rPr>
        <w:t xml:space="preserve">) (spotreba 2 000 MWh-20 000 </w:t>
      </w:r>
      <w:proofErr w:type="spellStart"/>
      <w:r w:rsidRPr="00804E7E">
        <w:rPr>
          <w:rFonts w:ascii="Times New Roman" w:hAnsi="Times New Roman" w:cs="Times New Roman"/>
          <w:bCs/>
          <w:i/>
          <w:sz w:val="24"/>
          <w:szCs w:val="24"/>
        </w:rPr>
        <w:t>MWh</w:t>
      </w:r>
      <w:proofErr w:type="spellEnd"/>
      <w:r w:rsidRPr="00804E7E">
        <w:rPr>
          <w:rFonts w:ascii="Times New Roman" w:hAnsi="Times New Roman" w:cs="Times New Roman"/>
          <w:bCs/>
          <w:i/>
          <w:sz w:val="24"/>
          <w:szCs w:val="24"/>
        </w:rPr>
        <w:t>)</w:t>
      </w:r>
    </w:p>
    <w:p w:rsidR="00931C42" w:rsidRPr="00931C42" w:rsidRDefault="00B76D7D" w:rsidP="00931C42">
      <w:pPr>
        <w:spacing w:after="0" w:line="240" w:lineRule="auto"/>
        <w:jc w:val="both"/>
        <w:rPr>
          <w:rFonts w:ascii="Times New Roman" w:hAnsi="Times New Roman" w:cs="Times New Roman"/>
          <w:sz w:val="24"/>
          <w:szCs w:val="24"/>
        </w:rPr>
      </w:pPr>
      <w:r w:rsidRPr="00B76D7D">
        <w:rPr>
          <w:noProof/>
          <w:highlight w:val="yellow"/>
          <w:lang w:eastAsia="sk-SK"/>
        </w:rPr>
        <w:drawing>
          <wp:inline distT="0" distB="0" distL="0" distR="0" wp14:anchorId="473A3BA4" wp14:editId="200ECBEF">
            <wp:extent cx="4805464" cy="3112851"/>
            <wp:effectExtent l="0" t="0" r="14605" b="11430"/>
            <wp:docPr id="6"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p>
    <w:p w:rsidR="000564D1" w:rsidRDefault="000564D1" w:rsidP="00931C42">
      <w:pPr>
        <w:spacing w:after="0" w:line="240" w:lineRule="auto"/>
        <w:jc w:val="both"/>
        <w:rPr>
          <w:rFonts w:ascii="Times New Roman" w:hAnsi="Times New Roman" w:cs="Times New Roman"/>
          <w:bCs/>
          <w:i/>
          <w:sz w:val="24"/>
          <w:szCs w:val="24"/>
        </w:rPr>
      </w:pPr>
    </w:p>
    <w:p w:rsidR="00931C42" w:rsidRPr="00931C42" w:rsidRDefault="000564D1" w:rsidP="00931C42">
      <w:pPr>
        <w:spacing w:after="0" w:line="240" w:lineRule="auto"/>
        <w:jc w:val="both"/>
        <w:rPr>
          <w:rFonts w:ascii="Times New Roman" w:hAnsi="Times New Roman" w:cs="Times New Roman"/>
          <w:sz w:val="24"/>
          <w:szCs w:val="24"/>
        </w:rPr>
      </w:pPr>
      <w:r w:rsidRPr="00804E7E">
        <w:rPr>
          <w:rFonts w:ascii="Times New Roman" w:hAnsi="Times New Roman" w:cs="Times New Roman"/>
          <w:bCs/>
          <w:i/>
          <w:sz w:val="24"/>
          <w:szCs w:val="24"/>
        </w:rPr>
        <w:lastRenderedPageBreak/>
        <w:t>Cena plynu pre priemysel, rok 2015 (€/</w:t>
      </w:r>
      <w:proofErr w:type="spellStart"/>
      <w:r w:rsidRPr="00804E7E">
        <w:rPr>
          <w:rFonts w:ascii="Times New Roman" w:hAnsi="Times New Roman" w:cs="Times New Roman"/>
          <w:bCs/>
          <w:i/>
          <w:sz w:val="24"/>
          <w:szCs w:val="24"/>
        </w:rPr>
        <w:t>kWh</w:t>
      </w:r>
      <w:proofErr w:type="spellEnd"/>
      <w:r w:rsidRPr="00804E7E">
        <w:rPr>
          <w:rFonts w:ascii="Times New Roman" w:hAnsi="Times New Roman" w:cs="Times New Roman"/>
          <w:bCs/>
          <w:i/>
          <w:sz w:val="24"/>
          <w:szCs w:val="24"/>
        </w:rPr>
        <w:t>) (spotreba 10 000 GJ - 100 000 GJ)</w:t>
      </w:r>
      <w:r w:rsidR="00B76D7D">
        <w:rPr>
          <w:noProof/>
          <w:lang w:eastAsia="sk-SK"/>
        </w:rPr>
        <w:drawing>
          <wp:inline distT="0" distB="0" distL="0" distR="0" wp14:anchorId="72B262FE" wp14:editId="408C9BF1">
            <wp:extent cx="4572000" cy="2597285"/>
            <wp:effectExtent l="0" t="0" r="19050" b="1270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120" w:line="240" w:lineRule="auto"/>
        <w:jc w:val="both"/>
        <w:rPr>
          <w:rFonts w:ascii="Times New Roman" w:hAnsi="Times New Roman" w:cs="Times New Roman"/>
          <w:sz w:val="24"/>
          <w:szCs w:val="24"/>
        </w:rPr>
      </w:pPr>
      <w:r w:rsidRPr="00931C42">
        <w:rPr>
          <w:rFonts w:ascii="Times New Roman" w:hAnsi="Times New Roman" w:cs="Times New Roman"/>
          <w:b/>
          <w:sz w:val="24"/>
          <w:szCs w:val="24"/>
        </w:rPr>
        <w:t>Graf 2.1.</w:t>
      </w:r>
      <w:r w:rsidR="009E1E12">
        <w:rPr>
          <w:rFonts w:ascii="Times New Roman" w:hAnsi="Times New Roman" w:cs="Times New Roman"/>
          <w:b/>
          <w:sz w:val="24"/>
          <w:szCs w:val="24"/>
        </w:rPr>
        <w:t>4</w:t>
      </w:r>
      <w:r w:rsidR="009E1E12" w:rsidRPr="00931C42">
        <w:rPr>
          <w:rFonts w:ascii="Times New Roman" w:hAnsi="Times New Roman" w:cs="Times New Roman"/>
          <w:b/>
          <w:sz w:val="24"/>
          <w:szCs w:val="24"/>
        </w:rPr>
        <w:t xml:space="preserve"> </w:t>
      </w:r>
      <w:r w:rsidRPr="00931C42">
        <w:rPr>
          <w:rFonts w:ascii="Times New Roman" w:hAnsi="Times New Roman" w:cs="Times New Roman"/>
          <w:b/>
          <w:sz w:val="24"/>
          <w:szCs w:val="24"/>
        </w:rPr>
        <w:t>Porovnanie cien elektriny, resp. plynu pre podnikateľský sektor v roku 2015 v rámci EÚ (vrátane daní a poplatkov)</w:t>
      </w:r>
    </w:p>
    <w:p w:rsidR="00931C42" w:rsidRPr="00931C42" w:rsidRDefault="00B76D7D" w:rsidP="00931C42">
      <w:pPr>
        <w:spacing w:after="12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Koncová </w:t>
      </w:r>
      <w:r w:rsidR="00931C42" w:rsidRPr="00931C42">
        <w:rPr>
          <w:rFonts w:ascii="Times New Roman" w:hAnsi="Times New Roman" w:cs="Times New Roman"/>
          <w:i/>
          <w:sz w:val="24"/>
          <w:szCs w:val="24"/>
        </w:rPr>
        <w:t>cena elektriny pre podnikateľov, rok 2015, (€/</w:t>
      </w:r>
      <w:proofErr w:type="spellStart"/>
      <w:r w:rsidR="00931C42" w:rsidRPr="00931C42">
        <w:rPr>
          <w:rFonts w:ascii="Times New Roman" w:hAnsi="Times New Roman" w:cs="Times New Roman"/>
          <w:i/>
          <w:sz w:val="24"/>
          <w:szCs w:val="24"/>
        </w:rPr>
        <w:t>kWh</w:t>
      </w:r>
      <w:proofErr w:type="spellEnd"/>
      <w:r w:rsidR="00931C42" w:rsidRPr="00931C42">
        <w:rPr>
          <w:rFonts w:ascii="Times New Roman" w:hAnsi="Times New Roman" w:cs="Times New Roman"/>
          <w:i/>
          <w:sz w:val="24"/>
          <w:szCs w:val="24"/>
        </w:rPr>
        <w:t>):</w:t>
      </w:r>
    </w:p>
    <w:p w:rsidR="00931C42" w:rsidRPr="00931C42" w:rsidRDefault="008B4C87" w:rsidP="00931C42">
      <w:pPr>
        <w:spacing w:after="0" w:line="240" w:lineRule="auto"/>
        <w:jc w:val="both"/>
        <w:rPr>
          <w:rFonts w:ascii="Times New Roman" w:hAnsi="Times New Roman" w:cs="Times New Roman"/>
          <w:sz w:val="24"/>
          <w:szCs w:val="24"/>
        </w:rPr>
      </w:pPr>
      <w:r w:rsidRPr="008B4C87">
        <w:rPr>
          <w:noProof/>
          <w:color w:val="C2D69B" w:themeColor="accent3" w:themeTint="99"/>
          <w:lang w:eastAsia="sk-SK"/>
        </w:rPr>
        <w:drawing>
          <wp:inline distT="0" distB="0" distL="0" distR="0" wp14:anchorId="6D473527" wp14:editId="5FCF19BE">
            <wp:extent cx="5943600" cy="2568102"/>
            <wp:effectExtent l="0" t="0" r="19050" b="22860"/>
            <wp:docPr id="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p>
    <w:p w:rsidR="00931C42" w:rsidRPr="00931C42" w:rsidRDefault="00B76D7D" w:rsidP="00931C42">
      <w:pPr>
        <w:spacing w:after="120" w:line="240" w:lineRule="auto"/>
        <w:jc w:val="both"/>
        <w:rPr>
          <w:rFonts w:ascii="Times New Roman" w:hAnsi="Times New Roman" w:cs="Times New Roman"/>
          <w:i/>
          <w:sz w:val="24"/>
          <w:szCs w:val="24"/>
        </w:rPr>
      </w:pPr>
      <w:r>
        <w:rPr>
          <w:rFonts w:ascii="Times New Roman" w:hAnsi="Times New Roman" w:cs="Times New Roman"/>
          <w:i/>
          <w:sz w:val="24"/>
          <w:szCs w:val="24"/>
        </w:rPr>
        <w:t>Koncová</w:t>
      </w:r>
      <w:r w:rsidRPr="00931C42">
        <w:rPr>
          <w:rFonts w:ascii="Times New Roman" w:hAnsi="Times New Roman" w:cs="Times New Roman"/>
          <w:i/>
          <w:sz w:val="24"/>
          <w:szCs w:val="24"/>
        </w:rPr>
        <w:t xml:space="preserve"> </w:t>
      </w:r>
      <w:r w:rsidR="00931C42" w:rsidRPr="00931C42">
        <w:rPr>
          <w:rFonts w:ascii="Times New Roman" w:hAnsi="Times New Roman" w:cs="Times New Roman"/>
          <w:i/>
          <w:sz w:val="24"/>
          <w:szCs w:val="24"/>
        </w:rPr>
        <w:t>cena plynu pre podnikateľov, rok 2015, (€/</w:t>
      </w:r>
      <w:proofErr w:type="spellStart"/>
      <w:r w:rsidR="00931C42" w:rsidRPr="00931C42">
        <w:rPr>
          <w:rFonts w:ascii="Times New Roman" w:hAnsi="Times New Roman" w:cs="Times New Roman"/>
          <w:i/>
          <w:sz w:val="24"/>
          <w:szCs w:val="24"/>
        </w:rPr>
        <w:t>kWh</w:t>
      </w:r>
      <w:proofErr w:type="spellEnd"/>
      <w:r w:rsidR="00931C42" w:rsidRPr="00931C42">
        <w:rPr>
          <w:rFonts w:ascii="Times New Roman" w:hAnsi="Times New Roman" w:cs="Times New Roman"/>
          <w:i/>
          <w:sz w:val="24"/>
          <w:szCs w:val="24"/>
        </w:rPr>
        <w:t>):</w:t>
      </w:r>
    </w:p>
    <w:p w:rsidR="00931C42" w:rsidRPr="00931C42" w:rsidRDefault="008B4C87" w:rsidP="00931C42">
      <w:pPr>
        <w:spacing w:after="0" w:line="240" w:lineRule="auto"/>
        <w:jc w:val="both"/>
        <w:rPr>
          <w:rFonts w:ascii="Times New Roman" w:hAnsi="Times New Roman" w:cs="Times New Roman"/>
          <w:sz w:val="24"/>
          <w:szCs w:val="24"/>
        </w:rPr>
      </w:pPr>
      <w:r w:rsidRPr="008B4C87">
        <w:rPr>
          <w:noProof/>
          <w:color w:val="C2D69B" w:themeColor="accent3" w:themeTint="99"/>
          <w:sz w:val="16"/>
          <w:szCs w:val="16"/>
          <w:lang w:eastAsia="sk-SK"/>
        </w:rPr>
        <w:drawing>
          <wp:inline distT="0" distB="0" distL="0" distR="0" wp14:anchorId="271B828A" wp14:editId="656BACEA">
            <wp:extent cx="5943600" cy="2352675"/>
            <wp:effectExtent l="0" t="0" r="19050" b="9525"/>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r w:rsidRPr="00931C42">
        <w:rPr>
          <w:rFonts w:ascii="Times New Roman" w:hAnsi="Times New Roman" w:cs="Times New Roman"/>
          <w:sz w:val="20"/>
          <w:szCs w:val="20"/>
        </w:rPr>
        <w:t xml:space="preserve"> </w:t>
      </w:r>
    </w:p>
    <w:p w:rsidR="0049004D" w:rsidRDefault="0049004D" w:rsidP="00931C42">
      <w:pPr>
        <w:spacing w:after="0" w:line="240" w:lineRule="auto"/>
        <w:jc w:val="both"/>
        <w:rPr>
          <w:rFonts w:ascii="Times New Roman" w:hAnsi="Times New Roman" w:cs="Times New Roman"/>
          <w:b/>
          <w:sz w:val="24"/>
          <w:szCs w:val="24"/>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2.2 Trh práce a vzdelávanie</w:t>
      </w:r>
    </w:p>
    <w:p w:rsidR="00BC4392" w:rsidRPr="00931C42" w:rsidRDefault="00BC4392" w:rsidP="00BC4392">
      <w:pPr>
        <w:spacing w:after="0" w:line="240" w:lineRule="auto"/>
        <w:jc w:val="both"/>
        <w:rPr>
          <w:rFonts w:ascii="Times New Roman" w:hAnsi="Times New Roman" w:cs="Times New Roman"/>
          <w:b/>
          <w:sz w:val="24"/>
          <w:szCs w:val="24"/>
        </w:rPr>
      </w:pPr>
    </w:p>
    <w:p w:rsidR="00BC4392" w:rsidRDefault="00BC4392" w:rsidP="00BC439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Nasledujúca časť materiálu poskytuje prehľad o vývoji ukazovateľov týkajúcich sa trhu práce a</w:t>
      </w:r>
      <w:r>
        <w:rPr>
          <w:rFonts w:ascii="Times New Roman" w:hAnsi="Times New Roman" w:cs="Times New Roman"/>
          <w:sz w:val="24"/>
          <w:szCs w:val="24"/>
        </w:rPr>
        <w:t> </w:t>
      </w:r>
      <w:r w:rsidRPr="00931C42">
        <w:rPr>
          <w:rFonts w:ascii="Times New Roman" w:hAnsi="Times New Roman" w:cs="Times New Roman"/>
          <w:sz w:val="24"/>
          <w:szCs w:val="24"/>
        </w:rPr>
        <w:t>vzdeláva</w:t>
      </w:r>
      <w:r>
        <w:rPr>
          <w:rFonts w:ascii="Times New Roman" w:hAnsi="Times New Roman" w:cs="Times New Roman"/>
          <w:sz w:val="24"/>
          <w:szCs w:val="24"/>
        </w:rPr>
        <w:t xml:space="preserve">nia </w:t>
      </w:r>
      <w:r w:rsidRPr="00931C42">
        <w:rPr>
          <w:rFonts w:ascii="Times New Roman" w:hAnsi="Times New Roman" w:cs="Times New Roman"/>
          <w:sz w:val="24"/>
          <w:szCs w:val="24"/>
        </w:rPr>
        <w:t xml:space="preserve">v SR. </w:t>
      </w:r>
      <w:r w:rsidRPr="009E1E12">
        <w:rPr>
          <w:rFonts w:ascii="Times New Roman" w:hAnsi="Times New Roman" w:cs="Times New Roman"/>
          <w:sz w:val="24"/>
          <w:szCs w:val="24"/>
        </w:rPr>
        <w:t>Celková zamestnanosť v 4. štvrťroku 2015 dosiahla 2 285,7 tis. osôb. V porovnaní so 4. štvrťrokom 2014 vzrástla o 2 %. Po očistení o sezónne vplyvy sa celková zamestnanosť zvýšila oproti 4. štvrťroku 2014 o 1,9 % a oproti 3. štvrťroku 2015 o 0,4 %. Silný rast zamestnanosti pokračuje aj v roku 2016, konkrétne v 3. štvrťroku 2016 táto dynamika dosiahla úroveň 2,4 % r/r. S tým súvisí aj pokles priemernej miery nezamestnanosti (graf 2.</w:t>
      </w:r>
      <w:r>
        <w:rPr>
          <w:rFonts w:ascii="Times New Roman" w:hAnsi="Times New Roman" w:cs="Times New Roman"/>
          <w:sz w:val="24"/>
          <w:szCs w:val="24"/>
        </w:rPr>
        <w:t>2</w:t>
      </w:r>
      <w:r w:rsidRPr="009E1E12">
        <w:rPr>
          <w:rFonts w:ascii="Times New Roman" w:hAnsi="Times New Roman" w:cs="Times New Roman"/>
          <w:sz w:val="24"/>
          <w:szCs w:val="24"/>
        </w:rPr>
        <w:t xml:space="preserve">.1), ktorá </w:t>
      </w:r>
      <w:r w:rsidR="00485F63">
        <w:rPr>
          <w:rFonts w:ascii="Times New Roman" w:hAnsi="Times New Roman" w:cs="Times New Roman"/>
          <w:sz w:val="24"/>
          <w:szCs w:val="24"/>
        </w:rPr>
        <w:t xml:space="preserve">sa </w:t>
      </w:r>
      <w:r w:rsidRPr="009E1E12">
        <w:rPr>
          <w:rFonts w:ascii="Times New Roman" w:hAnsi="Times New Roman" w:cs="Times New Roman"/>
          <w:sz w:val="24"/>
          <w:szCs w:val="24"/>
        </w:rPr>
        <w:t xml:space="preserve">od roku 2013 do roku 2015 </w:t>
      </w:r>
      <w:r w:rsidR="00485F63">
        <w:rPr>
          <w:rFonts w:ascii="Times New Roman" w:hAnsi="Times New Roman" w:cs="Times New Roman"/>
          <w:sz w:val="24"/>
          <w:szCs w:val="24"/>
        </w:rPr>
        <w:t>znížila</w:t>
      </w:r>
      <w:r w:rsidR="00485F63" w:rsidRPr="009E1E12">
        <w:rPr>
          <w:rFonts w:ascii="Times New Roman" w:hAnsi="Times New Roman" w:cs="Times New Roman"/>
          <w:sz w:val="24"/>
          <w:szCs w:val="24"/>
        </w:rPr>
        <w:t xml:space="preserve"> </w:t>
      </w:r>
      <w:r w:rsidRPr="009E1E12">
        <w:rPr>
          <w:rFonts w:ascii="Times New Roman" w:hAnsi="Times New Roman" w:cs="Times New Roman"/>
          <w:sz w:val="24"/>
          <w:szCs w:val="24"/>
        </w:rPr>
        <w:t>o 2,7 %.</w:t>
      </w:r>
    </w:p>
    <w:p w:rsidR="00BC4392" w:rsidRDefault="00BC4392" w:rsidP="00BC4392">
      <w:pPr>
        <w:spacing w:after="0" w:line="240" w:lineRule="auto"/>
        <w:ind w:firstLine="708"/>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w:t>
      </w:r>
      <w:r>
        <w:rPr>
          <w:rFonts w:ascii="Times New Roman" w:hAnsi="Times New Roman" w:cs="Times New Roman"/>
          <w:b/>
          <w:sz w:val="24"/>
          <w:szCs w:val="24"/>
        </w:rPr>
        <w:t>2</w:t>
      </w:r>
      <w:r w:rsidRPr="00931C42">
        <w:rPr>
          <w:rFonts w:ascii="Times New Roman" w:hAnsi="Times New Roman" w:cs="Times New Roman"/>
          <w:b/>
          <w:sz w:val="24"/>
          <w:szCs w:val="24"/>
        </w:rPr>
        <w:t>.</w:t>
      </w:r>
      <w:r>
        <w:rPr>
          <w:rFonts w:ascii="Times New Roman" w:hAnsi="Times New Roman" w:cs="Times New Roman"/>
          <w:b/>
          <w:sz w:val="24"/>
          <w:szCs w:val="24"/>
        </w:rPr>
        <w:t>1</w:t>
      </w:r>
      <w:r w:rsidRPr="00931C42">
        <w:rPr>
          <w:rFonts w:ascii="Times New Roman" w:hAnsi="Times New Roman" w:cs="Times New Roman"/>
          <w:b/>
          <w:sz w:val="24"/>
          <w:szCs w:val="24"/>
        </w:rPr>
        <w:t xml:space="preserve"> Vývoj priemernej miery nezamestnanosti v</w:t>
      </w:r>
      <w:r>
        <w:rPr>
          <w:rFonts w:ascii="Times New Roman" w:hAnsi="Times New Roman" w:cs="Times New Roman"/>
          <w:b/>
          <w:sz w:val="24"/>
          <w:szCs w:val="24"/>
        </w:rPr>
        <w:t xml:space="preserve"> SR v </w:t>
      </w:r>
      <w:r w:rsidRPr="00931C42">
        <w:rPr>
          <w:rFonts w:ascii="Times New Roman" w:hAnsi="Times New Roman" w:cs="Times New Roman"/>
          <w:b/>
          <w:sz w:val="24"/>
          <w:szCs w:val="24"/>
        </w:rPr>
        <w:t>%</w:t>
      </w:r>
    </w:p>
    <w:p w:rsidR="00BC4392" w:rsidRPr="00931C42" w:rsidRDefault="00BC4392" w:rsidP="00BC4392">
      <w:pPr>
        <w:spacing w:after="0" w:line="240" w:lineRule="auto"/>
        <w:jc w:val="both"/>
        <w:rPr>
          <w:rFonts w:ascii="Times New Roman" w:hAnsi="Times New Roman" w:cs="Times New Roman"/>
          <w:sz w:val="24"/>
          <w:szCs w:val="24"/>
        </w:rPr>
      </w:pPr>
      <w:r w:rsidRPr="00931C42">
        <w:rPr>
          <w:noProof/>
          <w:lang w:eastAsia="sk-SK"/>
        </w:rPr>
        <w:drawing>
          <wp:inline distT="0" distB="0" distL="0" distR="0" wp14:anchorId="29F3AC16" wp14:editId="041D80F1">
            <wp:extent cx="5398851" cy="2431915"/>
            <wp:effectExtent l="0" t="0" r="11430" b="26035"/>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C4392" w:rsidRPr="00931C42" w:rsidRDefault="00BC4392" w:rsidP="00BC4392">
      <w:pPr>
        <w:spacing w:after="0" w:line="240" w:lineRule="auto"/>
        <w:jc w:val="both"/>
        <w:rPr>
          <w:rFonts w:ascii="Times New Roman" w:hAnsi="Times New Roman" w:cs="Times New Roman"/>
          <w:sz w:val="20"/>
          <w:szCs w:val="24"/>
        </w:rPr>
      </w:pPr>
      <w:r w:rsidRPr="00931C42">
        <w:rPr>
          <w:rFonts w:ascii="Times New Roman" w:hAnsi="Times New Roman" w:cs="Times New Roman"/>
          <w:sz w:val="20"/>
          <w:szCs w:val="24"/>
        </w:rPr>
        <w:t xml:space="preserve">Zdroj: </w:t>
      </w:r>
      <w:proofErr w:type="spellStart"/>
      <w:r w:rsidRPr="00931C42">
        <w:rPr>
          <w:rFonts w:ascii="Times New Roman" w:hAnsi="Times New Roman" w:cs="Times New Roman"/>
          <w:sz w:val="20"/>
          <w:szCs w:val="24"/>
        </w:rPr>
        <w:t>Eurostat</w:t>
      </w:r>
      <w:proofErr w:type="spellEnd"/>
    </w:p>
    <w:p w:rsidR="00BC4392" w:rsidRPr="00931C42" w:rsidRDefault="00BC4392" w:rsidP="00BC4392">
      <w:pPr>
        <w:spacing w:after="0" w:line="240" w:lineRule="auto"/>
        <w:ind w:firstLine="708"/>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2.2.</w:t>
      </w:r>
      <w:r>
        <w:rPr>
          <w:rFonts w:ascii="Times New Roman" w:hAnsi="Times New Roman" w:cs="Times New Roman"/>
          <w:b/>
          <w:sz w:val="24"/>
          <w:szCs w:val="24"/>
        </w:rPr>
        <w:t>2</w:t>
      </w:r>
      <w:r w:rsidRPr="00931C42">
        <w:rPr>
          <w:rFonts w:ascii="Times New Roman" w:hAnsi="Times New Roman" w:cs="Times New Roman"/>
          <w:b/>
          <w:sz w:val="24"/>
          <w:szCs w:val="24"/>
        </w:rPr>
        <w:t xml:space="preserve"> Vývoj minimálnej mzdy a priemernej mzdy </w:t>
      </w:r>
      <w:r>
        <w:rPr>
          <w:rFonts w:ascii="Times New Roman" w:hAnsi="Times New Roman" w:cs="Times New Roman"/>
          <w:b/>
          <w:sz w:val="24"/>
          <w:szCs w:val="24"/>
        </w:rPr>
        <w:t>(v €)</w:t>
      </w:r>
    </w:p>
    <w:p w:rsidR="00BC4392" w:rsidRPr="00931C42" w:rsidRDefault="00BC4392" w:rsidP="00BC4392">
      <w:pPr>
        <w:spacing w:after="0" w:line="240" w:lineRule="auto"/>
        <w:jc w:val="both"/>
        <w:rPr>
          <w:rFonts w:ascii="Times New Roman" w:hAnsi="Times New Roman" w:cs="Times New Roman"/>
          <w:b/>
          <w:sz w:val="24"/>
          <w:szCs w:val="24"/>
        </w:rPr>
      </w:pPr>
      <w:r w:rsidRPr="00931C42">
        <w:rPr>
          <w:noProof/>
          <w:lang w:eastAsia="sk-SK"/>
        </w:rPr>
        <w:drawing>
          <wp:inline distT="0" distB="0" distL="0" distR="0" wp14:anchorId="7AE852D2" wp14:editId="3DBE481D">
            <wp:extent cx="4849977" cy="2757830"/>
            <wp:effectExtent l="0" t="0" r="27305" b="23495"/>
            <wp:docPr id="10" name="Graf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C4392" w:rsidRPr="00931C42" w:rsidRDefault="00BC4392" w:rsidP="00BC4392">
      <w:pPr>
        <w:spacing w:after="0" w:line="240" w:lineRule="auto"/>
        <w:rPr>
          <w:rFonts w:ascii="Times New Roman" w:hAnsi="Times New Roman" w:cs="Times New Roman"/>
          <w:sz w:val="24"/>
          <w:szCs w:val="24"/>
        </w:rPr>
      </w:pPr>
      <w:r w:rsidRPr="00931C42">
        <w:rPr>
          <w:rFonts w:ascii="Times New Roman" w:hAnsi="Times New Roman" w:cs="Times New Roman"/>
          <w:sz w:val="20"/>
          <w:szCs w:val="20"/>
        </w:rPr>
        <w:t>Zdroj: MPSVR SR</w:t>
      </w:r>
      <w:r w:rsidRPr="00931C42">
        <w:rPr>
          <w:rFonts w:ascii="Times New Roman" w:hAnsi="Times New Roman" w:cs="Times New Roman"/>
          <w:sz w:val="20"/>
          <w:szCs w:val="20"/>
        </w:rPr>
        <w:br/>
      </w:r>
    </w:p>
    <w:p w:rsidR="00BC4392" w:rsidRPr="00931C4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4"/>
          <w:szCs w:val="24"/>
        </w:rPr>
        <w:tab/>
        <w:t>Na grafe 2.2.</w:t>
      </w:r>
      <w:r>
        <w:rPr>
          <w:rFonts w:ascii="Times New Roman" w:hAnsi="Times New Roman" w:cs="Times New Roman"/>
          <w:sz w:val="24"/>
          <w:szCs w:val="24"/>
        </w:rPr>
        <w:t>2</w:t>
      </w:r>
      <w:r w:rsidRPr="00931C42">
        <w:rPr>
          <w:rFonts w:ascii="Times New Roman" w:hAnsi="Times New Roman" w:cs="Times New Roman"/>
          <w:sz w:val="24"/>
          <w:szCs w:val="24"/>
        </w:rPr>
        <w:t xml:space="preserve"> je možné pozorovať v období od roku 2008 až 2017 vývoj priemernej mzdy a hrubej minimálnej mzdy, ktorý </w:t>
      </w:r>
      <w:r>
        <w:rPr>
          <w:rFonts w:ascii="Times New Roman" w:hAnsi="Times New Roman" w:cs="Times New Roman"/>
          <w:sz w:val="24"/>
          <w:szCs w:val="24"/>
        </w:rPr>
        <w:t xml:space="preserve">má </w:t>
      </w:r>
      <w:r w:rsidRPr="00931C42">
        <w:rPr>
          <w:rFonts w:ascii="Times New Roman" w:hAnsi="Times New Roman" w:cs="Times New Roman"/>
          <w:sz w:val="24"/>
          <w:szCs w:val="24"/>
        </w:rPr>
        <w:t xml:space="preserve">počas zvoleného obdobia stúpajúci charakter. Za obdobie </w:t>
      </w:r>
      <w:r>
        <w:rPr>
          <w:rFonts w:ascii="Times New Roman" w:hAnsi="Times New Roman" w:cs="Times New Roman"/>
          <w:sz w:val="24"/>
          <w:szCs w:val="24"/>
        </w:rPr>
        <w:t xml:space="preserve">rokov </w:t>
      </w:r>
      <w:r w:rsidRPr="00931C42">
        <w:rPr>
          <w:rFonts w:ascii="Times New Roman" w:hAnsi="Times New Roman" w:cs="Times New Roman"/>
          <w:sz w:val="24"/>
          <w:szCs w:val="24"/>
        </w:rPr>
        <w:t xml:space="preserve">2008 až 2015 sa hodnota priemernej mzdy zvýšila o 159,97 € (81,88 %) a minimálnej mzdy o 111,13 € (70,76 %). Hodnoty priemernej mzdy za roky 2016 a 2017 sú </w:t>
      </w:r>
      <w:r w:rsidRPr="00931C42">
        <w:rPr>
          <w:rFonts w:ascii="Times New Roman" w:hAnsi="Times New Roman" w:cs="Times New Roman"/>
          <w:sz w:val="24"/>
          <w:szCs w:val="24"/>
        </w:rPr>
        <w:lastRenderedPageBreak/>
        <w:t xml:space="preserve">očakávané priemerné mzdy podľa prognózy Inštitútu finančnej politiky. Hodnota priemernej mzdy a minimálnej mzdy za rok 2008 bola prepočítaná konverzným kurzom 30,1260 SKK/EUR. </w:t>
      </w:r>
    </w:p>
    <w:p w:rsidR="00BC4392" w:rsidRPr="00931C42" w:rsidRDefault="00BC4392" w:rsidP="00BC4392">
      <w:pPr>
        <w:spacing w:after="0" w:line="240" w:lineRule="auto"/>
        <w:jc w:val="both"/>
        <w:rPr>
          <w:rFonts w:ascii="Times New Roman" w:hAnsi="Times New Roman" w:cs="Times New Roman"/>
          <w:sz w:val="20"/>
          <w:szCs w:val="20"/>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2.2.</w:t>
      </w:r>
      <w:r>
        <w:rPr>
          <w:rFonts w:ascii="Times New Roman" w:hAnsi="Times New Roman" w:cs="Times New Roman"/>
          <w:b/>
          <w:sz w:val="24"/>
          <w:szCs w:val="24"/>
        </w:rPr>
        <w:t>3</w:t>
      </w:r>
      <w:r w:rsidRPr="00931C42">
        <w:rPr>
          <w:rFonts w:ascii="Times New Roman" w:hAnsi="Times New Roman" w:cs="Times New Roman"/>
          <w:b/>
          <w:sz w:val="24"/>
          <w:szCs w:val="24"/>
        </w:rPr>
        <w:t xml:space="preserve"> Pomer minimálnej mzdy a priemernej mzdy</w:t>
      </w:r>
    </w:p>
    <w:p w:rsidR="00BC4392" w:rsidRPr="00931C42" w:rsidRDefault="00BC4392" w:rsidP="00BC4392">
      <w:pPr>
        <w:spacing w:after="0" w:line="240" w:lineRule="auto"/>
        <w:jc w:val="both"/>
        <w:rPr>
          <w:rFonts w:ascii="Times New Roman" w:hAnsi="Times New Roman" w:cs="Times New Roman"/>
          <w:sz w:val="20"/>
          <w:szCs w:val="20"/>
        </w:rPr>
      </w:pPr>
      <w:r w:rsidRPr="00931C42">
        <w:rPr>
          <w:noProof/>
          <w:lang w:eastAsia="sk-SK"/>
        </w:rPr>
        <w:drawing>
          <wp:inline distT="0" distB="0" distL="0" distR="0" wp14:anchorId="47E143BF" wp14:editId="27F0CD9B">
            <wp:extent cx="4858871" cy="2375647"/>
            <wp:effectExtent l="0" t="0" r="18415" b="24765"/>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4392" w:rsidRPr="00931C4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Zdroj: MPSVR SR</w:t>
      </w:r>
    </w:p>
    <w:p w:rsidR="00BC4392" w:rsidRPr="00931C42" w:rsidRDefault="00BC4392" w:rsidP="00BC4392">
      <w:pPr>
        <w:spacing w:after="0" w:line="240" w:lineRule="auto"/>
        <w:jc w:val="both"/>
        <w:rPr>
          <w:rFonts w:ascii="Times New Roman" w:hAnsi="Times New Roman" w:cs="Times New Roman"/>
          <w:sz w:val="24"/>
          <w:szCs w:val="24"/>
        </w:rPr>
      </w:pPr>
    </w:p>
    <w:p w:rsidR="00BC4392" w:rsidRDefault="00BC4392" w:rsidP="00BC439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Vývoj na grafe 2.2.</w:t>
      </w:r>
      <w:r>
        <w:rPr>
          <w:rFonts w:ascii="Times New Roman" w:hAnsi="Times New Roman" w:cs="Times New Roman"/>
          <w:sz w:val="24"/>
          <w:szCs w:val="24"/>
        </w:rPr>
        <w:t>3</w:t>
      </w:r>
      <w:r w:rsidRPr="00931C42">
        <w:rPr>
          <w:rFonts w:ascii="Times New Roman" w:hAnsi="Times New Roman" w:cs="Times New Roman"/>
          <w:sz w:val="24"/>
          <w:szCs w:val="24"/>
        </w:rPr>
        <w:t xml:space="preserve"> potvrdzuje progresívny vývoj minimálnej mzdy </w:t>
      </w:r>
      <w:r>
        <w:rPr>
          <w:rFonts w:ascii="Times New Roman" w:hAnsi="Times New Roman" w:cs="Times New Roman"/>
          <w:sz w:val="24"/>
          <w:szCs w:val="24"/>
        </w:rPr>
        <w:t xml:space="preserve">vo vzťahu </w:t>
      </w:r>
      <w:r w:rsidRPr="00931C42">
        <w:rPr>
          <w:rFonts w:ascii="Times New Roman" w:hAnsi="Times New Roman" w:cs="Times New Roman"/>
          <w:sz w:val="24"/>
          <w:szCs w:val="24"/>
        </w:rPr>
        <w:t>k priemernej mzd</w:t>
      </w:r>
      <w:r>
        <w:rPr>
          <w:rFonts w:ascii="Times New Roman" w:hAnsi="Times New Roman" w:cs="Times New Roman"/>
          <w:sz w:val="24"/>
          <w:szCs w:val="24"/>
        </w:rPr>
        <w:t>e</w:t>
      </w:r>
      <w:r w:rsidRPr="00931C42">
        <w:rPr>
          <w:rFonts w:ascii="Times New Roman" w:hAnsi="Times New Roman" w:cs="Times New Roman"/>
          <w:sz w:val="24"/>
          <w:szCs w:val="24"/>
        </w:rPr>
        <w:t>, ktorý sa dá identifikovať aj v grafe 2.2.</w:t>
      </w:r>
      <w:r>
        <w:rPr>
          <w:rFonts w:ascii="Times New Roman" w:hAnsi="Times New Roman" w:cs="Times New Roman"/>
          <w:sz w:val="24"/>
          <w:szCs w:val="24"/>
        </w:rPr>
        <w:t>2</w:t>
      </w:r>
      <w:r w:rsidRPr="00931C42">
        <w:rPr>
          <w:rFonts w:ascii="Times New Roman" w:hAnsi="Times New Roman" w:cs="Times New Roman"/>
          <w:sz w:val="24"/>
          <w:szCs w:val="24"/>
        </w:rPr>
        <w:t>. Hodnota pomeru priemernej mzdy k minimálnej sa zvýšila z 37,19 % (2008) na 43,04 % (2015).</w:t>
      </w:r>
      <w:r>
        <w:rPr>
          <w:rFonts w:ascii="Times New Roman" w:hAnsi="Times New Roman" w:cs="Times New Roman"/>
          <w:sz w:val="24"/>
          <w:szCs w:val="24"/>
        </w:rPr>
        <w:t xml:space="preserve"> Zvyšovanie tohto pomeru vo všeobecnosti </w:t>
      </w:r>
      <w:r w:rsidR="00485F63">
        <w:rPr>
          <w:rFonts w:ascii="Times New Roman" w:hAnsi="Times New Roman" w:cs="Times New Roman"/>
          <w:sz w:val="24"/>
          <w:szCs w:val="24"/>
        </w:rPr>
        <w:t xml:space="preserve">môže </w:t>
      </w:r>
      <w:r>
        <w:rPr>
          <w:rFonts w:ascii="Times New Roman" w:hAnsi="Times New Roman" w:cs="Times New Roman"/>
          <w:sz w:val="24"/>
          <w:szCs w:val="24"/>
        </w:rPr>
        <w:t>zvýšiť záujem potenciálnych zamestnancov o prijatie pracovného miesta, ktoré je ohodnotené na úrovni minimálnej mzdy. Na druhej strane, zvyšovanie minimálnej mzdy so sebou prináša aj zvyšovanie nákladov pre podnikateľov.</w:t>
      </w:r>
    </w:p>
    <w:p w:rsidR="00BC4392" w:rsidRPr="00931C42" w:rsidRDefault="00BC4392" w:rsidP="00BC4392">
      <w:pPr>
        <w:spacing w:after="0" w:line="240" w:lineRule="auto"/>
        <w:jc w:val="both"/>
        <w:rPr>
          <w:rFonts w:ascii="Times New Roman" w:hAnsi="Times New Roman" w:cs="Times New Roman"/>
          <w:sz w:val="20"/>
          <w:szCs w:val="20"/>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2.2.</w:t>
      </w:r>
      <w:r>
        <w:rPr>
          <w:rFonts w:ascii="Times New Roman" w:hAnsi="Times New Roman" w:cs="Times New Roman"/>
          <w:b/>
          <w:sz w:val="24"/>
          <w:szCs w:val="24"/>
        </w:rPr>
        <w:t>4</w:t>
      </w:r>
      <w:r w:rsidRPr="00931C42">
        <w:rPr>
          <w:rFonts w:ascii="Times New Roman" w:hAnsi="Times New Roman" w:cs="Times New Roman"/>
          <w:b/>
          <w:sz w:val="24"/>
          <w:szCs w:val="24"/>
        </w:rPr>
        <w:t xml:space="preserve"> Vývoj krátkodobej migrácie za prácou do zahraničia</w:t>
      </w:r>
      <w:r>
        <w:rPr>
          <w:rFonts w:ascii="Times New Roman" w:hAnsi="Times New Roman" w:cs="Times New Roman"/>
          <w:b/>
          <w:sz w:val="24"/>
          <w:szCs w:val="24"/>
        </w:rPr>
        <w:t xml:space="preserve"> (v tis. osôb)</w:t>
      </w:r>
    </w:p>
    <w:p w:rsidR="00BC4392" w:rsidRPr="00931C42" w:rsidRDefault="00BC4392" w:rsidP="00BC4392">
      <w:pPr>
        <w:spacing w:after="0" w:line="240" w:lineRule="auto"/>
        <w:jc w:val="both"/>
        <w:rPr>
          <w:rFonts w:ascii="Times New Roman" w:hAnsi="Times New Roman" w:cs="Times New Roman"/>
          <w:sz w:val="20"/>
          <w:szCs w:val="20"/>
        </w:rPr>
      </w:pPr>
      <w:r w:rsidRPr="00931C42">
        <w:rPr>
          <w:noProof/>
          <w:lang w:eastAsia="sk-SK"/>
        </w:rPr>
        <w:drawing>
          <wp:inline distT="0" distB="0" distL="0" distR="0" wp14:anchorId="30CE9E3D" wp14:editId="01996401">
            <wp:extent cx="5856051" cy="2256817"/>
            <wp:effectExtent l="0" t="0" r="11430" b="1016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C439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Zdroj: Štatistický úrad SR</w:t>
      </w:r>
    </w:p>
    <w:p w:rsidR="00BC4392" w:rsidRPr="00931C42" w:rsidRDefault="00BC4392" w:rsidP="00BC4392">
      <w:pPr>
        <w:spacing w:after="0" w:line="240" w:lineRule="auto"/>
        <w:jc w:val="both"/>
        <w:rPr>
          <w:rFonts w:ascii="Times New Roman" w:hAnsi="Times New Roman" w:cs="Times New Roman"/>
          <w:sz w:val="24"/>
          <w:szCs w:val="24"/>
        </w:rPr>
      </w:pPr>
    </w:p>
    <w:p w:rsidR="00BC4392" w:rsidRDefault="00BC4392" w:rsidP="00BC439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Na grafe 2.2.</w:t>
      </w:r>
      <w:r>
        <w:rPr>
          <w:rFonts w:ascii="Times New Roman" w:hAnsi="Times New Roman" w:cs="Times New Roman"/>
          <w:sz w:val="24"/>
          <w:szCs w:val="24"/>
        </w:rPr>
        <w:t>4</w:t>
      </w:r>
      <w:r w:rsidRPr="00931C42">
        <w:rPr>
          <w:rFonts w:ascii="Times New Roman" w:hAnsi="Times New Roman" w:cs="Times New Roman"/>
          <w:sz w:val="24"/>
          <w:szCs w:val="24"/>
        </w:rPr>
        <w:t xml:space="preserve"> sledujeme vývoj krátkodobej migrácie obyvateľstva za prácou do zahraničia v období rokov 2004 – 2015. Veľmi výrazný stúpajúci vývoj je možné sledovať v období </w:t>
      </w:r>
      <w:r>
        <w:rPr>
          <w:rFonts w:ascii="Times New Roman" w:hAnsi="Times New Roman" w:cs="Times New Roman"/>
          <w:sz w:val="24"/>
          <w:szCs w:val="24"/>
        </w:rPr>
        <w:t xml:space="preserve">pred </w:t>
      </w:r>
      <w:r w:rsidRPr="00931C42">
        <w:rPr>
          <w:rFonts w:ascii="Times New Roman" w:hAnsi="Times New Roman" w:cs="Times New Roman"/>
          <w:sz w:val="24"/>
          <w:szCs w:val="24"/>
        </w:rPr>
        <w:t>globáln</w:t>
      </w:r>
      <w:r>
        <w:rPr>
          <w:rFonts w:ascii="Times New Roman" w:hAnsi="Times New Roman" w:cs="Times New Roman"/>
          <w:sz w:val="24"/>
          <w:szCs w:val="24"/>
        </w:rPr>
        <w:t>ou</w:t>
      </w:r>
      <w:r w:rsidRPr="00931C42">
        <w:rPr>
          <w:rFonts w:ascii="Times New Roman" w:hAnsi="Times New Roman" w:cs="Times New Roman"/>
          <w:sz w:val="24"/>
          <w:szCs w:val="24"/>
        </w:rPr>
        <w:t xml:space="preserve"> ekonomick</w:t>
      </w:r>
      <w:r>
        <w:rPr>
          <w:rFonts w:ascii="Times New Roman" w:hAnsi="Times New Roman" w:cs="Times New Roman"/>
          <w:sz w:val="24"/>
          <w:szCs w:val="24"/>
        </w:rPr>
        <w:t>ou</w:t>
      </w:r>
      <w:r w:rsidRPr="00931C42">
        <w:rPr>
          <w:rFonts w:ascii="Times New Roman" w:hAnsi="Times New Roman" w:cs="Times New Roman"/>
          <w:sz w:val="24"/>
          <w:szCs w:val="24"/>
        </w:rPr>
        <w:t xml:space="preserve"> kríz</w:t>
      </w:r>
      <w:r>
        <w:rPr>
          <w:rFonts w:ascii="Times New Roman" w:hAnsi="Times New Roman" w:cs="Times New Roman"/>
          <w:sz w:val="24"/>
          <w:szCs w:val="24"/>
        </w:rPr>
        <w:t>ou</w:t>
      </w:r>
      <w:r w:rsidRPr="00931C42">
        <w:rPr>
          <w:rFonts w:ascii="Times New Roman" w:hAnsi="Times New Roman" w:cs="Times New Roman"/>
          <w:sz w:val="24"/>
          <w:szCs w:val="24"/>
        </w:rPr>
        <w:t xml:space="preserve">, t. j. v rokoch 2004 – 2007. Po tomto období sa postupne znížil počet ľudí krátkodobo pracujúcich v zahraničí z dôvodu, že vo všetkých národných ekonomikách klesol počet pracovných miest. Tento počet </w:t>
      </w:r>
      <w:r>
        <w:rPr>
          <w:rFonts w:ascii="Times New Roman" w:hAnsi="Times New Roman" w:cs="Times New Roman"/>
          <w:sz w:val="24"/>
          <w:szCs w:val="24"/>
        </w:rPr>
        <w:t xml:space="preserve">sa </w:t>
      </w:r>
      <w:r w:rsidRPr="00931C42">
        <w:rPr>
          <w:rFonts w:ascii="Times New Roman" w:hAnsi="Times New Roman" w:cs="Times New Roman"/>
          <w:sz w:val="24"/>
          <w:szCs w:val="24"/>
        </w:rPr>
        <w:t xml:space="preserve">v pokrízovom období stabilizoval a následne </w:t>
      </w:r>
      <w:r>
        <w:rPr>
          <w:rFonts w:ascii="Times New Roman" w:hAnsi="Times New Roman" w:cs="Times New Roman"/>
          <w:sz w:val="24"/>
          <w:szCs w:val="24"/>
        </w:rPr>
        <w:t>je opäť možné</w:t>
      </w:r>
      <w:r w:rsidRPr="00931C42">
        <w:rPr>
          <w:rFonts w:ascii="Times New Roman" w:hAnsi="Times New Roman" w:cs="Times New Roman"/>
          <w:sz w:val="24"/>
          <w:szCs w:val="24"/>
        </w:rPr>
        <w:t xml:space="preserve"> sledovať postupne </w:t>
      </w:r>
      <w:r>
        <w:rPr>
          <w:rFonts w:ascii="Times New Roman" w:hAnsi="Times New Roman" w:cs="Times New Roman"/>
          <w:sz w:val="24"/>
          <w:szCs w:val="24"/>
        </w:rPr>
        <w:t xml:space="preserve">sa </w:t>
      </w:r>
      <w:r w:rsidRPr="00931C42">
        <w:rPr>
          <w:rFonts w:ascii="Times New Roman" w:hAnsi="Times New Roman" w:cs="Times New Roman"/>
          <w:sz w:val="24"/>
          <w:szCs w:val="24"/>
        </w:rPr>
        <w:t>zvyšujúci počet krátkodobo pracujúcich v zahraničí v rokoch 2012, 2013</w:t>
      </w:r>
      <w:r>
        <w:rPr>
          <w:rFonts w:ascii="Times New Roman" w:hAnsi="Times New Roman" w:cs="Times New Roman"/>
          <w:sz w:val="24"/>
          <w:szCs w:val="24"/>
        </w:rPr>
        <w:t xml:space="preserve"> a</w:t>
      </w:r>
      <w:r w:rsidRPr="00931C42">
        <w:rPr>
          <w:rFonts w:ascii="Times New Roman" w:hAnsi="Times New Roman" w:cs="Times New Roman"/>
          <w:sz w:val="24"/>
          <w:szCs w:val="24"/>
        </w:rPr>
        <w:t xml:space="preserve"> 2015.  </w:t>
      </w:r>
      <w:r>
        <w:rPr>
          <w:rFonts w:ascii="Times New Roman" w:hAnsi="Times New Roman" w:cs="Times New Roman"/>
          <w:sz w:val="24"/>
          <w:szCs w:val="24"/>
        </w:rPr>
        <w:t>Pracovná sila v rámci krátkodobej migrácie predstavuje potenciál pre slovenských podnikateľov na obsadenie voľných pracovných miest, ktoré ponúkajú.</w:t>
      </w:r>
    </w:p>
    <w:p w:rsidR="00BC4392" w:rsidRPr="00931C42" w:rsidRDefault="00BC4392" w:rsidP="00BC4392">
      <w:pPr>
        <w:spacing w:after="0" w:line="240" w:lineRule="auto"/>
        <w:jc w:val="both"/>
        <w:rPr>
          <w:rFonts w:ascii="Times New Roman" w:hAnsi="Times New Roman" w:cs="Times New Roman"/>
          <w:sz w:val="24"/>
          <w:szCs w:val="24"/>
        </w:rPr>
      </w:pPr>
    </w:p>
    <w:p w:rsidR="00BC4392" w:rsidRDefault="00BC4392" w:rsidP="00BC4392">
      <w:pPr>
        <w:spacing w:after="0" w:line="240" w:lineRule="auto"/>
        <w:jc w:val="both"/>
        <w:rPr>
          <w:rFonts w:ascii="Times New Roman" w:hAnsi="Times New Roman" w:cs="Times New Roman"/>
          <w:b/>
          <w:sz w:val="24"/>
          <w:szCs w:val="24"/>
        </w:rPr>
      </w:pPr>
    </w:p>
    <w:p w:rsidR="00BC4392" w:rsidRDefault="00BC4392" w:rsidP="00BC439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lastRenderedPageBreak/>
        <w:tab/>
      </w:r>
      <w:r w:rsidR="00120456">
        <w:rPr>
          <w:rFonts w:ascii="Times New Roman" w:hAnsi="Times New Roman" w:cs="Times New Roman"/>
          <w:sz w:val="24"/>
          <w:szCs w:val="24"/>
        </w:rPr>
        <w:t>K</w:t>
      </w:r>
      <w:r w:rsidRPr="00931C42">
        <w:rPr>
          <w:rFonts w:ascii="Times New Roman" w:hAnsi="Times New Roman" w:cs="Times New Roman"/>
          <w:sz w:val="24"/>
          <w:szCs w:val="24"/>
        </w:rPr>
        <w:t xml:space="preserve">raje východného Slovenska </w:t>
      </w:r>
      <w:r>
        <w:rPr>
          <w:rFonts w:ascii="Times New Roman" w:hAnsi="Times New Roman" w:cs="Times New Roman"/>
          <w:sz w:val="24"/>
          <w:szCs w:val="24"/>
        </w:rPr>
        <w:t xml:space="preserve">si dlhodobo udržujú </w:t>
      </w:r>
      <w:r w:rsidRPr="00931C42">
        <w:rPr>
          <w:rFonts w:ascii="Times New Roman" w:hAnsi="Times New Roman" w:cs="Times New Roman"/>
          <w:sz w:val="24"/>
          <w:szCs w:val="24"/>
        </w:rPr>
        <w:t xml:space="preserve">najvyšší percentuálny podiel na krátkodobej migrácii za prácou do zahraničia. Veľmi výrazný podiel má Prešovský kraj, ktorého percentuálny podiel je približne zhodný s percentuálnym podielom celého západného Slovenska (okrem Bratislavy). Po krajoch východného Slovenska nasledujú kraje stredného a potom kraje západného Slovenska. Najnižší percentuálny podiel má Trnavský kraj, ktorý po roku 2011 dobehol aj Bratislavský kraj. </w:t>
      </w:r>
      <w:r>
        <w:rPr>
          <w:rFonts w:ascii="Times New Roman" w:hAnsi="Times New Roman" w:cs="Times New Roman"/>
          <w:sz w:val="24"/>
          <w:szCs w:val="24"/>
        </w:rPr>
        <w:t xml:space="preserve">Z toho vyplýva, že najväčší potenciál voľnej pracovnej sily je na východnom Slovensku, a to v prípade, ak by pracovná sila pochádzajúca z Košického a Prešovského kraja uprednostnila zamestnanie na Slovensku pred krátkodobou migráciou do zahraničia. </w:t>
      </w:r>
    </w:p>
    <w:p w:rsidR="00120456" w:rsidRPr="00931C42" w:rsidRDefault="00120456" w:rsidP="00BC4392">
      <w:pPr>
        <w:spacing w:after="0" w:line="240" w:lineRule="auto"/>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Nasledujúce grafy predstavujú zloženie absolventov stredoškolského a vysokoškolského vzdelávania, ktorí vstupujú v rámci svojej získanej kvalifikácie na trh práce. </w:t>
      </w:r>
    </w:p>
    <w:p w:rsidR="00BC4392" w:rsidRDefault="00BC4392" w:rsidP="00BC4392">
      <w:pPr>
        <w:spacing w:after="0" w:line="240" w:lineRule="auto"/>
        <w:jc w:val="both"/>
        <w:rPr>
          <w:rFonts w:ascii="Times New Roman" w:hAnsi="Times New Roman" w:cs="Times New Roman"/>
          <w:b/>
          <w:sz w:val="24"/>
          <w:szCs w:val="24"/>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2.2.</w:t>
      </w:r>
      <w:r w:rsidR="00242F18">
        <w:rPr>
          <w:rFonts w:ascii="Times New Roman" w:hAnsi="Times New Roman" w:cs="Times New Roman"/>
          <w:b/>
          <w:sz w:val="24"/>
          <w:szCs w:val="24"/>
        </w:rPr>
        <w:t>6</w:t>
      </w:r>
      <w:r w:rsidRPr="00931C42">
        <w:rPr>
          <w:rFonts w:ascii="Times New Roman" w:hAnsi="Times New Roman" w:cs="Times New Roman"/>
          <w:b/>
          <w:sz w:val="24"/>
          <w:szCs w:val="24"/>
        </w:rPr>
        <w:t xml:space="preserve"> Vývoj počtu absolventov 1. a 2. stupňa vysokoškolského vzdelávania</w:t>
      </w:r>
    </w:p>
    <w:p w:rsidR="00BC4392" w:rsidRPr="00931C42" w:rsidRDefault="00BC4392" w:rsidP="00BC4392">
      <w:pPr>
        <w:spacing w:after="0" w:line="240" w:lineRule="auto"/>
        <w:jc w:val="both"/>
        <w:rPr>
          <w:rFonts w:ascii="Times New Roman" w:hAnsi="Times New Roman" w:cs="Times New Roman"/>
          <w:sz w:val="20"/>
          <w:szCs w:val="20"/>
        </w:rPr>
      </w:pPr>
      <w:r>
        <w:rPr>
          <w:noProof/>
          <w:lang w:eastAsia="sk-SK"/>
        </w:rPr>
        <w:drawing>
          <wp:inline distT="0" distB="0" distL="0" distR="0" wp14:anchorId="749E25AB" wp14:editId="721810DF">
            <wp:extent cx="5939624" cy="2552368"/>
            <wp:effectExtent l="0" t="0" r="23495" b="19685"/>
            <wp:docPr id="13" name="Graf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C4392" w:rsidRPr="00931C4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Zdroj: Ministerstvo školstva vedy výskumu a športu SR</w:t>
      </w:r>
    </w:p>
    <w:p w:rsidR="00BC4392" w:rsidRDefault="00BC4392" w:rsidP="00BC4392">
      <w:pPr>
        <w:spacing w:after="0" w:line="240" w:lineRule="auto"/>
        <w:jc w:val="both"/>
        <w:rPr>
          <w:rFonts w:ascii="Times New Roman" w:hAnsi="Times New Roman" w:cs="Times New Roman"/>
          <w:sz w:val="24"/>
          <w:szCs w:val="24"/>
        </w:rPr>
      </w:pPr>
    </w:p>
    <w:p w:rsidR="00BC4392" w:rsidRDefault="00BC4392" w:rsidP="00BC439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Na grafe 2.2.</w:t>
      </w:r>
      <w:r w:rsidR="00242F18">
        <w:rPr>
          <w:rFonts w:ascii="Times New Roman" w:hAnsi="Times New Roman" w:cs="Times New Roman"/>
          <w:sz w:val="24"/>
          <w:szCs w:val="24"/>
        </w:rPr>
        <w:t>6</w:t>
      </w:r>
      <w:r w:rsidRPr="00931C42">
        <w:rPr>
          <w:rFonts w:ascii="Times New Roman" w:hAnsi="Times New Roman" w:cs="Times New Roman"/>
          <w:sz w:val="24"/>
          <w:szCs w:val="24"/>
        </w:rPr>
        <w:t xml:space="preserve"> je možné pozorovať vývoj počtu absolventov 1. a 2. stupňa vysokoškolského vzdelávania v dennej a externej forme, domácich aj zahraničných študentov za roky 2014 – 2015. Z grafu môžeme jasne pozorovať mierne klesajúci počet absolventov v prírodných vedách, technických vedách I .</w:t>
      </w:r>
      <w:r>
        <w:rPr>
          <w:rFonts w:ascii="Times New Roman" w:hAnsi="Times New Roman" w:cs="Times New Roman"/>
          <w:sz w:val="24"/>
          <w:szCs w:val="24"/>
        </w:rPr>
        <w:t xml:space="preserve"> </w:t>
      </w:r>
      <w:r w:rsidRPr="00931C42">
        <w:rPr>
          <w:rFonts w:ascii="Times New Roman" w:hAnsi="Times New Roman" w:cs="Times New Roman"/>
          <w:sz w:val="24"/>
          <w:szCs w:val="24"/>
        </w:rPr>
        <w:t>a II.</w:t>
      </w:r>
      <w:r>
        <w:rPr>
          <w:rFonts w:ascii="Times New Roman" w:hAnsi="Times New Roman" w:cs="Times New Roman"/>
          <w:sz w:val="24"/>
          <w:szCs w:val="24"/>
        </w:rPr>
        <w:t xml:space="preserve"> a vo</w:t>
      </w:r>
      <w:r w:rsidRPr="00931C42">
        <w:rPr>
          <w:rFonts w:ascii="Times New Roman" w:hAnsi="Times New Roman" w:cs="Times New Roman"/>
          <w:sz w:val="24"/>
          <w:szCs w:val="24"/>
        </w:rPr>
        <w:t xml:space="preserve"> ved</w:t>
      </w:r>
      <w:r>
        <w:rPr>
          <w:rFonts w:ascii="Times New Roman" w:hAnsi="Times New Roman" w:cs="Times New Roman"/>
          <w:sz w:val="24"/>
          <w:szCs w:val="24"/>
        </w:rPr>
        <w:t>ách</w:t>
      </w:r>
      <w:r w:rsidRPr="00931C42">
        <w:rPr>
          <w:rFonts w:ascii="Times New Roman" w:hAnsi="Times New Roman" w:cs="Times New Roman"/>
          <w:sz w:val="24"/>
          <w:szCs w:val="24"/>
        </w:rPr>
        <w:t xml:space="preserve"> a náuk</w:t>
      </w:r>
      <w:r>
        <w:rPr>
          <w:rFonts w:ascii="Times New Roman" w:hAnsi="Times New Roman" w:cs="Times New Roman"/>
          <w:sz w:val="24"/>
          <w:szCs w:val="24"/>
        </w:rPr>
        <w:t>ách</w:t>
      </w:r>
      <w:r w:rsidRPr="00931C42">
        <w:rPr>
          <w:rFonts w:ascii="Times New Roman" w:hAnsi="Times New Roman" w:cs="Times New Roman"/>
          <w:sz w:val="24"/>
          <w:szCs w:val="24"/>
        </w:rPr>
        <w:t xml:space="preserve"> o umení. V spoločenských vedách, náukách a službách I. a II, lekárskych a farmaceutických vedách a náukách a vojenských a bezpečnostných vedách a náukách je možné sledovať výrazne nižšie hodnoty absolventov štúdia vo vybranom období. V prípade poľnohospodársko-lesníckych a veterinárnych </w:t>
      </w:r>
      <w:r>
        <w:rPr>
          <w:rFonts w:ascii="Times New Roman" w:hAnsi="Times New Roman" w:cs="Times New Roman"/>
          <w:sz w:val="24"/>
          <w:szCs w:val="24"/>
        </w:rPr>
        <w:t>vied</w:t>
      </w:r>
      <w:r w:rsidRPr="00931C42">
        <w:rPr>
          <w:rFonts w:ascii="Times New Roman" w:hAnsi="Times New Roman" w:cs="Times New Roman"/>
          <w:sz w:val="24"/>
          <w:szCs w:val="24"/>
        </w:rPr>
        <w:t xml:space="preserve"> a náuk sledujeme mierny nárast počtu absolventov.</w:t>
      </w:r>
    </w:p>
    <w:p w:rsidR="00212737" w:rsidRPr="00931C42" w:rsidRDefault="00212737" w:rsidP="00804E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Z </w:t>
      </w:r>
      <w:r w:rsidRPr="00931C42">
        <w:rPr>
          <w:rFonts w:ascii="Times New Roman" w:hAnsi="Times New Roman" w:cs="Times New Roman"/>
          <w:sz w:val="24"/>
          <w:szCs w:val="24"/>
        </w:rPr>
        <w:t xml:space="preserve">absolventov 2. stupňa vysokoškolského vzdelávania </w:t>
      </w:r>
      <w:r>
        <w:rPr>
          <w:rFonts w:ascii="Times New Roman" w:hAnsi="Times New Roman" w:cs="Times New Roman"/>
          <w:sz w:val="24"/>
          <w:szCs w:val="24"/>
        </w:rPr>
        <w:t>bol n</w:t>
      </w:r>
      <w:r w:rsidRPr="00931C42">
        <w:rPr>
          <w:rFonts w:ascii="Times New Roman" w:hAnsi="Times New Roman" w:cs="Times New Roman"/>
          <w:sz w:val="24"/>
          <w:szCs w:val="24"/>
        </w:rPr>
        <w:t>ajväčší podiel nezamestnaných absolventov v septembri 2016 v spoločenských vedách, náukách a službách I. a II. (32,91 % a</w:t>
      </w:r>
      <w:r>
        <w:rPr>
          <w:rFonts w:ascii="Times New Roman" w:hAnsi="Times New Roman" w:cs="Times New Roman"/>
          <w:sz w:val="24"/>
          <w:szCs w:val="24"/>
        </w:rPr>
        <w:t> </w:t>
      </w:r>
      <w:r w:rsidRPr="00931C42">
        <w:rPr>
          <w:rFonts w:ascii="Times New Roman" w:hAnsi="Times New Roman" w:cs="Times New Roman"/>
          <w:sz w:val="24"/>
          <w:szCs w:val="24"/>
        </w:rPr>
        <w:t xml:space="preserve">25,63 %) a technických vedách a náukách I. (12,28 %). </w:t>
      </w:r>
      <w:r>
        <w:rPr>
          <w:rFonts w:ascii="Times New Roman" w:hAnsi="Times New Roman" w:cs="Times New Roman"/>
          <w:sz w:val="24"/>
          <w:szCs w:val="24"/>
        </w:rPr>
        <w:t>Naopak, najnižší podiel na celkovom počte nezamestnaných absolventov zaznamenali v tom istom čase</w:t>
      </w:r>
      <w:r w:rsidRPr="00931C42">
        <w:rPr>
          <w:rFonts w:ascii="Times New Roman" w:hAnsi="Times New Roman" w:cs="Times New Roman"/>
          <w:sz w:val="24"/>
          <w:szCs w:val="24"/>
        </w:rPr>
        <w:t>  vedy a náuky o umení 2,53 %, lekárske a farmaceutické vedy a náuky s 3,09 %, vojenské a bezpečnostné vedy a náuky s 4,41 %, poľnohospodársko-lesnícke a veterinárne vedy a náuky s 5,19 %, prírodné vedy s 6,77 % a technické vedy a náuky II. s 7,18 %.</w:t>
      </w:r>
    </w:p>
    <w:p w:rsidR="00BC4392" w:rsidRDefault="00BC4392" w:rsidP="00BC4392">
      <w:pPr>
        <w:spacing w:after="0" w:line="240" w:lineRule="auto"/>
        <w:jc w:val="both"/>
        <w:rPr>
          <w:rFonts w:ascii="Times New Roman" w:hAnsi="Times New Roman" w:cs="Times New Roman"/>
          <w:b/>
          <w:sz w:val="24"/>
          <w:szCs w:val="24"/>
        </w:rPr>
      </w:pPr>
    </w:p>
    <w:p w:rsidR="00BC4392" w:rsidRPr="00931C42" w:rsidRDefault="00BC4392" w:rsidP="00804E7E">
      <w:pPr>
        <w:spacing w:after="0" w:line="240" w:lineRule="auto"/>
        <w:rPr>
          <w:rFonts w:ascii="Times New Roman" w:hAnsi="Times New Roman" w:cs="Times New Roman"/>
          <w:sz w:val="24"/>
          <w:szCs w:val="24"/>
        </w:rPr>
      </w:pPr>
      <w:r w:rsidRPr="00931C42">
        <w:rPr>
          <w:rFonts w:ascii="Times New Roman" w:hAnsi="Times New Roman" w:cs="Times New Roman"/>
          <w:b/>
          <w:sz w:val="24"/>
          <w:szCs w:val="24"/>
        </w:rPr>
        <w:lastRenderedPageBreak/>
        <w:t>Graf 2.2.</w:t>
      </w:r>
      <w:r w:rsidR="00242F18">
        <w:rPr>
          <w:rFonts w:ascii="Times New Roman" w:hAnsi="Times New Roman" w:cs="Times New Roman"/>
          <w:b/>
          <w:sz w:val="24"/>
          <w:szCs w:val="24"/>
        </w:rPr>
        <w:t>7</w:t>
      </w:r>
      <w:r w:rsidRPr="00931C42">
        <w:rPr>
          <w:rFonts w:ascii="Times New Roman" w:hAnsi="Times New Roman" w:cs="Times New Roman"/>
          <w:b/>
          <w:sz w:val="24"/>
          <w:szCs w:val="24"/>
        </w:rPr>
        <w:t xml:space="preserve"> Vývoj počtu absolventov stredoškolského vzdelávania</w:t>
      </w:r>
      <w:r w:rsidRPr="00931C42">
        <w:rPr>
          <w:noProof/>
          <w:lang w:eastAsia="sk-SK"/>
        </w:rPr>
        <w:drawing>
          <wp:inline distT="0" distB="0" distL="0" distR="0" wp14:anchorId="204C3B11" wp14:editId="2782BEFD">
            <wp:extent cx="5800953" cy="1814169"/>
            <wp:effectExtent l="0" t="0" r="9525" b="15240"/>
            <wp:docPr id="16" name="Graf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C4392" w:rsidRPr="00931C4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Zdroj: Ministerstvo školstva, vedy, výskumu a športu SR</w:t>
      </w:r>
    </w:p>
    <w:p w:rsidR="00BC4392" w:rsidRDefault="00BC4392" w:rsidP="00BC4392">
      <w:pPr>
        <w:spacing w:after="0" w:line="240" w:lineRule="auto"/>
        <w:jc w:val="both"/>
        <w:rPr>
          <w:rFonts w:ascii="Times New Roman" w:hAnsi="Times New Roman" w:cs="Times New Roman"/>
          <w:sz w:val="24"/>
          <w:szCs w:val="24"/>
        </w:rPr>
      </w:pPr>
    </w:p>
    <w:p w:rsidR="00BC4392" w:rsidRDefault="00BC4392" w:rsidP="00BC43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Na grafe 2.2.</w:t>
      </w:r>
      <w:r w:rsidR="00242F18">
        <w:rPr>
          <w:rFonts w:ascii="Times New Roman" w:hAnsi="Times New Roman" w:cs="Times New Roman"/>
          <w:sz w:val="24"/>
          <w:szCs w:val="24"/>
        </w:rPr>
        <w:t>7</w:t>
      </w:r>
      <w:r>
        <w:rPr>
          <w:rFonts w:ascii="Times New Roman" w:hAnsi="Times New Roman" w:cs="Times New Roman"/>
          <w:sz w:val="24"/>
          <w:szCs w:val="24"/>
        </w:rPr>
        <w:t xml:space="preserve"> je možné pozorovať klesajúci celkový počet absolventov stredoškolského vzdelávania, pričom najväčší úbytok zaznamenávajú stredné odborné školy. </w:t>
      </w:r>
      <w:r w:rsidRPr="00804E7E">
        <w:rPr>
          <w:rFonts w:ascii="Times New Roman" w:hAnsi="Times New Roman" w:cs="Times New Roman"/>
          <w:sz w:val="24"/>
          <w:szCs w:val="24"/>
        </w:rPr>
        <w:t xml:space="preserve">Dopyt po absolventoch týchto vzdelávacích zariadení medzi podnikateľskými subjektmi vo viacerých odvetviach (napr. automobilový priemysel) </w:t>
      </w:r>
      <w:r w:rsidR="00937E43" w:rsidRPr="00804E7E">
        <w:rPr>
          <w:rFonts w:ascii="Times New Roman" w:hAnsi="Times New Roman" w:cs="Times New Roman"/>
          <w:sz w:val="24"/>
          <w:szCs w:val="24"/>
        </w:rPr>
        <w:t>neklesá.</w:t>
      </w:r>
      <w:r>
        <w:rPr>
          <w:rFonts w:ascii="Times New Roman" w:hAnsi="Times New Roman" w:cs="Times New Roman"/>
          <w:sz w:val="24"/>
          <w:szCs w:val="24"/>
        </w:rPr>
        <w:t xml:space="preserve"> </w:t>
      </w:r>
    </w:p>
    <w:p w:rsidR="00BC4392" w:rsidRPr="00931C42" w:rsidRDefault="00BC4392" w:rsidP="00BC4392">
      <w:pPr>
        <w:spacing w:after="0" w:line="240" w:lineRule="auto"/>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Graf 2.2.</w:t>
      </w:r>
      <w:r w:rsidR="00242F18">
        <w:rPr>
          <w:rFonts w:ascii="Times New Roman" w:hAnsi="Times New Roman" w:cs="Times New Roman"/>
          <w:b/>
          <w:sz w:val="24"/>
          <w:szCs w:val="24"/>
        </w:rPr>
        <w:t>8</w:t>
      </w:r>
      <w:r w:rsidRPr="00931C42">
        <w:rPr>
          <w:rFonts w:ascii="Times New Roman" w:hAnsi="Times New Roman" w:cs="Times New Roman"/>
          <w:b/>
          <w:sz w:val="24"/>
          <w:szCs w:val="24"/>
        </w:rPr>
        <w:t xml:space="preserve"> Percentuálny podiel absolventov jednotlivých druhov stredoškolského vzdelávania</w:t>
      </w:r>
    </w:p>
    <w:p w:rsidR="00BC4392" w:rsidRPr="00931C42" w:rsidRDefault="00BC4392" w:rsidP="00BC4392">
      <w:pPr>
        <w:spacing w:after="0" w:line="240" w:lineRule="auto"/>
        <w:jc w:val="both"/>
        <w:rPr>
          <w:rFonts w:ascii="Times New Roman" w:hAnsi="Times New Roman" w:cs="Times New Roman"/>
          <w:sz w:val="24"/>
          <w:szCs w:val="24"/>
        </w:rPr>
      </w:pPr>
      <w:r w:rsidRPr="00931C42">
        <w:rPr>
          <w:noProof/>
          <w:lang w:eastAsia="sk-SK"/>
        </w:rPr>
        <w:drawing>
          <wp:inline distT="0" distB="0" distL="0" distR="0" wp14:anchorId="5DE5B225" wp14:editId="4FF02529">
            <wp:extent cx="5787957" cy="2529192"/>
            <wp:effectExtent l="0" t="0" r="22860" b="24130"/>
            <wp:docPr id="17" name="Graf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C4392" w:rsidRPr="00931C42" w:rsidRDefault="00BC4392" w:rsidP="00BC439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Zdroj: Ministerstvo školstva, vedy, výskumu a športu SR</w:t>
      </w:r>
    </w:p>
    <w:p w:rsidR="00BC4392" w:rsidRPr="00931C42" w:rsidRDefault="00BC4392" w:rsidP="00BC4392">
      <w:pPr>
        <w:spacing w:after="0" w:line="240" w:lineRule="auto"/>
        <w:jc w:val="both"/>
        <w:rPr>
          <w:rFonts w:ascii="Times New Roman" w:hAnsi="Times New Roman" w:cs="Times New Roman"/>
          <w:sz w:val="24"/>
          <w:szCs w:val="24"/>
        </w:rPr>
      </w:pPr>
    </w:p>
    <w:p w:rsidR="00BC4392" w:rsidRPr="00931C42" w:rsidRDefault="00BC4392" w:rsidP="00BC439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Pr>
          <w:rFonts w:ascii="Times New Roman" w:hAnsi="Times New Roman" w:cs="Times New Roman"/>
          <w:sz w:val="24"/>
          <w:szCs w:val="24"/>
        </w:rPr>
        <w:t xml:space="preserve">Graf </w:t>
      </w:r>
      <w:r w:rsidRPr="00931C42">
        <w:rPr>
          <w:rFonts w:ascii="Times New Roman" w:hAnsi="Times New Roman" w:cs="Times New Roman"/>
          <w:sz w:val="24"/>
          <w:szCs w:val="24"/>
        </w:rPr>
        <w:t>2.2.</w:t>
      </w:r>
      <w:r w:rsidR="00242F18">
        <w:rPr>
          <w:rFonts w:ascii="Times New Roman" w:hAnsi="Times New Roman" w:cs="Times New Roman"/>
          <w:sz w:val="24"/>
          <w:szCs w:val="24"/>
        </w:rPr>
        <w:t>8</w:t>
      </w:r>
      <w:r w:rsidRPr="00931C42">
        <w:rPr>
          <w:rFonts w:ascii="Times New Roman" w:hAnsi="Times New Roman" w:cs="Times New Roman"/>
          <w:sz w:val="24"/>
          <w:szCs w:val="24"/>
        </w:rPr>
        <w:t xml:space="preserve"> </w:t>
      </w:r>
      <w:r>
        <w:rPr>
          <w:rFonts w:ascii="Times New Roman" w:hAnsi="Times New Roman" w:cs="Times New Roman"/>
          <w:sz w:val="24"/>
          <w:szCs w:val="24"/>
        </w:rPr>
        <w:t>zobrazuje percentuálne podiely jednotlivých druhov stredoškolského vzdelávania na celkovom počte absolventov.</w:t>
      </w:r>
      <w:r w:rsidRPr="00931C42">
        <w:rPr>
          <w:rFonts w:ascii="Times New Roman" w:hAnsi="Times New Roman" w:cs="Times New Roman"/>
          <w:sz w:val="24"/>
          <w:szCs w:val="24"/>
        </w:rPr>
        <w:t xml:space="preserve"> Okrem konzervatórií, ktoré majú mierne pozitívny vývoj (z</w:t>
      </w:r>
      <w:r>
        <w:rPr>
          <w:rFonts w:ascii="Times New Roman" w:hAnsi="Times New Roman" w:cs="Times New Roman"/>
          <w:sz w:val="24"/>
          <w:szCs w:val="24"/>
        </w:rPr>
        <w:t> </w:t>
      </w:r>
      <w:r w:rsidRPr="00931C42">
        <w:rPr>
          <w:rFonts w:ascii="Times New Roman" w:hAnsi="Times New Roman" w:cs="Times New Roman"/>
          <w:sz w:val="24"/>
          <w:szCs w:val="24"/>
        </w:rPr>
        <w:t>0,67</w:t>
      </w:r>
      <w:r>
        <w:rPr>
          <w:rFonts w:ascii="Times New Roman" w:hAnsi="Times New Roman" w:cs="Times New Roman"/>
          <w:sz w:val="24"/>
          <w:szCs w:val="24"/>
        </w:rPr>
        <w:t> </w:t>
      </w:r>
      <w:r w:rsidRPr="00931C42">
        <w:rPr>
          <w:rFonts w:ascii="Times New Roman" w:hAnsi="Times New Roman" w:cs="Times New Roman"/>
          <w:sz w:val="24"/>
          <w:szCs w:val="24"/>
        </w:rPr>
        <w:t>%</w:t>
      </w:r>
      <w:r>
        <w:rPr>
          <w:rFonts w:ascii="Times New Roman" w:hAnsi="Times New Roman" w:cs="Times New Roman"/>
          <w:sz w:val="24"/>
          <w:szCs w:val="24"/>
        </w:rPr>
        <w:t xml:space="preserve"> v roku </w:t>
      </w:r>
      <w:r w:rsidRPr="00931C42">
        <w:rPr>
          <w:rFonts w:ascii="Times New Roman" w:hAnsi="Times New Roman" w:cs="Times New Roman"/>
          <w:sz w:val="24"/>
          <w:szCs w:val="24"/>
        </w:rPr>
        <w:t>2008 na 1,35 %</w:t>
      </w:r>
      <w:r>
        <w:rPr>
          <w:rFonts w:ascii="Times New Roman" w:hAnsi="Times New Roman" w:cs="Times New Roman"/>
          <w:sz w:val="24"/>
          <w:szCs w:val="24"/>
        </w:rPr>
        <w:t xml:space="preserve"> v roku</w:t>
      </w:r>
      <w:r w:rsidRPr="00931C42">
        <w:rPr>
          <w:rFonts w:ascii="Times New Roman" w:hAnsi="Times New Roman" w:cs="Times New Roman"/>
          <w:sz w:val="24"/>
          <w:szCs w:val="24"/>
        </w:rPr>
        <w:t xml:space="preserve"> 2015), zaznamenali všetky druhy stredoškolského vzdelávania negatívny vývoj. Aj keď najvýraznejší negatívny vývoj absolventov majú stredné odborné školy v dennej forme štúdia, stále majú najväčší percentuálny podiel absolventov stredoškolského vzdelávania (</w:t>
      </w:r>
      <w:r>
        <w:rPr>
          <w:rFonts w:ascii="Times New Roman" w:hAnsi="Times New Roman" w:cs="Times New Roman"/>
          <w:sz w:val="24"/>
          <w:szCs w:val="24"/>
        </w:rPr>
        <w:t xml:space="preserve">pokles </w:t>
      </w:r>
      <w:r w:rsidRPr="00931C42">
        <w:rPr>
          <w:rFonts w:ascii="Times New Roman" w:hAnsi="Times New Roman" w:cs="Times New Roman"/>
          <w:sz w:val="24"/>
          <w:szCs w:val="24"/>
        </w:rPr>
        <w:t>z</w:t>
      </w:r>
      <w:r>
        <w:rPr>
          <w:rFonts w:ascii="Times New Roman" w:hAnsi="Times New Roman" w:cs="Times New Roman"/>
          <w:sz w:val="24"/>
          <w:szCs w:val="24"/>
        </w:rPr>
        <w:t>o</w:t>
      </w:r>
      <w:r w:rsidRPr="00931C42">
        <w:rPr>
          <w:rFonts w:ascii="Times New Roman" w:hAnsi="Times New Roman" w:cs="Times New Roman"/>
          <w:sz w:val="24"/>
          <w:szCs w:val="24"/>
        </w:rPr>
        <w:t xml:space="preserve"> 67,74 %</w:t>
      </w:r>
      <w:r>
        <w:rPr>
          <w:rFonts w:ascii="Times New Roman" w:hAnsi="Times New Roman" w:cs="Times New Roman"/>
          <w:sz w:val="24"/>
          <w:szCs w:val="24"/>
        </w:rPr>
        <w:t xml:space="preserve"> v roku</w:t>
      </w:r>
      <w:r w:rsidRPr="00931C42">
        <w:rPr>
          <w:rFonts w:ascii="Times New Roman" w:hAnsi="Times New Roman" w:cs="Times New Roman"/>
          <w:sz w:val="24"/>
          <w:szCs w:val="24"/>
        </w:rPr>
        <w:t xml:space="preserve"> 2008 na 60,49 %</w:t>
      </w:r>
      <w:r>
        <w:rPr>
          <w:rFonts w:ascii="Times New Roman" w:hAnsi="Times New Roman" w:cs="Times New Roman"/>
          <w:sz w:val="24"/>
          <w:szCs w:val="24"/>
        </w:rPr>
        <w:t xml:space="preserve"> v roku</w:t>
      </w:r>
      <w:r w:rsidRPr="00931C42">
        <w:rPr>
          <w:rFonts w:ascii="Times New Roman" w:hAnsi="Times New Roman" w:cs="Times New Roman"/>
          <w:sz w:val="24"/>
          <w:szCs w:val="24"/>
        </w:rPr>
        <w:t xml:space="preserve"> 2015). Každoročne zvyšujúci sa percentuálny podiel absolventov stredoškolského vzdelávania je možné sledovať v prípade gymnázií (z</w:t>
      </w:r>
      <w:r>
        <w:rPr>
          <w:rFonts w:ascii="Times New Roman" w:hAnsi="Times New Roman" w:cs="Times New Roman"/>
          <w:sz w:val="24"/>
          <w:szCs w:val="24"/>
        </w:rPr>
        <w:t> </w:t>
      </w:r>
      <w:r w:rsidRPr="00931C42">
        <w:rPr>
          <w:rFonts w:ascii="Times New Roman" w:hAnsi="Times New Roman" w:cs="Times New Roman"/>
          <w:sz w:val="24"/>
          <w:szCs w:val="24"/>
        </w:rPr>
        <w:t>22,76</w:t>
      </w:r>
      <w:r>
        <w:rPr>
          <w:rFonts w:ascii="Times New Roman" w:hAnsi="Times New Roman" w:cs="Times New Roman"/>
          <w:sz w:val="24"/>
          <w:szCs w:val="24"/>
        </w:rPr>
        <w:t> </w:t>
      </w:r>
      <w:r w:rsidRPr="00931C42">
        <w:rPr>
          <w:rFonts w:ascii="Times New Roman" w:hAnsi="Times New Roman" w:cs="Times New Roman"/>
          <w:sz w:val="24"/>
          <w:szCs w:val="24"/>
        </w:rPr>
        <w:t>%</w:t>
      </w:r>
      <w:r>
        <w:rPr>
          <w:rFonts w:ascii="Times New Roman" w:hAnsi="Times New Roman" w:cs="Times New Roman"/>
          <w:sz w:val="24"/>
          <w:szCs w:val="24"/>
        </w:rPr>
        <w:t xml:space="preserve"> v roku</w:t>
      </w:r>
      <w:r w:rsidRPr="00931C42">
        <w:rPr>
          <w:rFonts w:ascii="Times New Roman" w:hAnsi="Times New Roman" w:cs="Times New Roman"/>
          <w:sz w:val="24"/>
          <w:szCs w:val="24"/>
        </w:rPr>
        <w:t xml:space="preserve"> 2008 na 25,88</w:t>
      </w:r>
      <w:r>
        <w:rPr>
          <w:rFonts w:ascii="Times New Roman" w:hAnsi="Times New Roman" w:cs="Times New Roman"/>
          <w:sz w:val="24"/>
          <w:szCs w:val="24"/>
        </w:rPr>
        <w:t> % v roku</w:t>
      </w:r>
      <w:r w:rsidRPr="00931C42">
        <w:rPr>
          <w:rFonts w:ascii="Times New Roman" w:hAnsi="Times New Roman" w:cs="Times New Roman"/>
          <w:sz w:val="24"/>
          <w:szCs w:val="24"/>
        </w:rPr>
        <w:t xml:space="preserve"> 2015). </w:t>
      </w:r>
      <w:r>
        <w:rPr>
          <w:rFonts w:ascii="Times New Roman" w:hAnsi="Times New Roman" w:cs="Times New Roman"/>
          <w:sz w:val="24"/>
          <w:szCs w:val="24"/>
        </w:rPr>
        <w:t>Skladba absolventov stredoškolského štúdia do značnej miery určuje aj skladbu pracovnej sily v blízkej i vzdialenejšej budúcnosti.</w:t>
      </w:r>
    </w:p>
    <w:p w:rsidR="00BC4392" w:rsidRDefault="00BC4392" w:rsidP="00BC439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Pokiaľ ide o nezamestnanosť absolventov stredoškolského vzdelávania, v septembri 2016 bolo nezamestnaných 1 375 absolventov gymnázií. V tom istom čase v rámci stredného odborného vzdelania patrili medzi odbory s najvyšším počtom nezamestnaných odbor </w:t>
      </w:r>
      <w:proofErr w:type="spellStart"/>
      <w:r>
        <w:rPr>
          <w:rFonts w:ascii="Times New Roman" w:hAnsi="Times New Roman" w:cs="Times New Roman"/>
          <w:sz w:val="24"/>
          <w:szCs w:val="24"/>
        </w:rPr>
        <w:t>autoopravár</w:t>
      </w:r>
      <w:proofErr w:type="spellEnd"/>
      <w:r>
        <w:rPr>
          <w:rFonts w:ascii="Times New Roman" w:hAnsi="Times New Roman" w:cs="Times New Roman"/>
          <w:sz w:val="24"/>
          <w:szCs w:val="24"/>
        </w:rPr>
        <w:t xml:space="preserve"> – mechanik (329 nezamestnaných absolventov), kuchár (305) a kaderník (283). Odbory s najvyšším počtom nezamestnaných absolventov úplného stredného odborného </w:t>
      </w:r>
      <w:r>
        <w:rPr>
          <w:rFonts w:ascii="Times New Roman" w:hAnsi="Times New Roman" w:cs="Times New Roman"/>
          <w:sz w:val="24"/>
          <w:szCs w:val="24"/>
        </w:rPr>
        <w:lastRenderedPageBreak/>
        <w:t>vzdelávania sú obchodná akadémia (934 absolventov), elektrotechnika (285) a zdravotnícky asistent (196).</w:t>
      </w:r>
    </w:p>
    <w:p w:rsidR="00BC4392" w:rsidRPr="00931C42" w:rsidRDefault="00BC4392" w:rsidP="00BC4392">
      <w:pPr>
        <w:spacing w:after="0" w:line="240" w:lineRule="auto"/>
        <w:jc w:val="both"/>
        <w:rPr>
          <w:rFonts w:ascii="Times New Roman" w:hAnsi="Times New Roman" w:cs="Times New Roman"/>
          <w:sz w:val="24"/>
          <w:szCs w:val="24"/>
        </w:rPr>
      </w:pPr>
      <w:r w:rsidRPr="00B61992">
        <w:rPr>
          <w:rFonts w:ascii="Times New Roman" w:hAnsi="Times New Roman" w:cs="Times New Roman"/>
          <w:sz w:val="24"/>
          <w:szCs w:val="24"/>
        </w:rPr>
        <w:t xml:space="preserve">  </w:t>
      </w:r>
      <w:r w:rsidRPr="00931C42">
        <w:rPr>
          <w:rFonts w:ascii="Times New Roman" w:hAnsi="Times New Roman" w:cs="Times New Roman"/>
          <w:sz w:val="24"/>
          <w:szCs w:val="24"/>
        </w:rPr>
        <w:tab/>
      </w:r>
    </w:p>
    <w:p w:rsidR="00BC4392" w:rsidRPr="00B61992" w:rsidRDefault="00BC4392" w:rsidP="00BC439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Pokiaľ ide o vzdelávanie týkajúce sa podnikania, z</w:t>
      </w:r>
      <w:r w:rsidRPr="00B61992">
        <w:rPr>
          <w:rFonts w:ascii="Times New Roman" w:hAnsi="Times New Roman" w:cs="Times New Roman"/>
          <w:sz w:val="24"/>
          <w:szCs w:val="24"/>
        </w:rPr>
        <w:t>ákon č. 245/2008 Z. z. o výchove a</w:t>
      </w:r>
      <w:r>
        <w:rPr>
          <w:rFonts w:ascii="Times New Roman" w:hAnsi="Times New Roman" w:cs="Times New Roman"/>
          <w:sz w:val="24"/>
          <w:szCs w:val="24"/>
        </w:rPr>
        <w:t> </w:t>
      </w:r>
      <w:r w:rsidRPr="00B61992">
        <w:rPr>
          <w:rFonts w:ascii="Times New Roman" w:hAnsi="Times New Roman" w:cs="Times New Roman"/>
          <w:sz w:val="24"/>
          <w:szCs w:val="24"/>
        </w:rPr>
        <w:t>vzdelávaní (školský zákon) a o zmene a doplnení niektorých zákonov, prostredníctvom dvojúrovňového modelu vzdelávania zaviedol výchovu a vzdelávanie v školách a v školských zariadeniach podľa štátnych a školských vzdelávacích programov</w:t>
      </w:r>
      <w:r>
        <w:rPr>
          <w:rFonts w:ascii="Times New Roman" w:hAnsi="Times New Roman" w:cs="Times New Roman"/>
          <w:sz w:val="24"/>
          <w:szCs w:val="24"/>
        </w:rPr>
        <w:t xml:space="preserve">. </w:t>
      </w:r>
      <w:r w:rsidRPr="00B61992">
        <w:rPr>
          <w:rFonts w:ascii="Times New Roman" w:hAnsi="Times New Roman" w:cs="Times New Roman"/>
          <w:sz w:val="24"/>
          <w:szCs w:val="24"/>
        </w:rPr>
        <w:t xml:space="preserve">„Výchova k podnikaniu“ je </w:t>
      </w:r>
      <w:r w:rsidR="00543FC2" w:rsidRPr="00B61992">
        <w:rPr>
          <w:rFonts w:ascii="Times New Roman" w:hAnsi="Times New Roman" w:cs="Times New Roman"/>
          <w:sz w:val="24"/>
          <w:szCs w:val="24"/>
        </w:rPr>
        <w:t>v</w:t>
      </w:r>
      <w:r w:rsidR="00543FC2">
        <w:rPr>
          <w:rFonts w:ascii="Times New Roman" w:hAnsi="Times New Roman" w:cs="Times New Roman"/>
          <w:sz w:val="24"/>
          <w:szCs w:val="24"/>
        </w:rPr>
        <w:t> </w:t>
      </w:r>
      <w:r w:rsidRPr="00B61992">
        <w:rPr>
          <w:rFonts w:ascii="Times New Roman" w:hAnsi="Times New Roman" w:cs="Times New Roman"/>
          <w:sz w:val="24"/>
          <w:szCs w:val="24"/>
        </w:rPr>
        <w:t>schválených štátnych vzdelávacích programoch pre odborné vzdelávanie a prípravu pre jednotlivé skupiny odborov vzdelávania komplexne začlenená vo vzdelávacom štandarde spoločnom pre všetky odbory</w:t>
      </w:r>
      <w:r w:rsidR="00543FC2">
        <w:rPr>
          <w:rFonts w:ascii="Times New Roman" w:hAnsi="Times New Roman" w:cs="Times New Roman"/>
          <w:sz w:val="24"/>
          <w:szCs w:val="24"/>
        </w:rPr>
        <w:t xml:space="preserve"> tzv. </w:t>
      </w:r>
      <w:r w:rsidRPr="00B61992">
        <w:rPr>
          <w:rFonts w:ascii="Times New Roman" w:hAnsi="Times New Roman" w:cs="Times New Roman"/>
          <w:sz w:val="24"/>
          <w:szCs w:val="24"/>
        </w:rPr>
        <w:t>„Ekonomické vzdelávanie“</w:t>
      </w:r>
      <w:r w:rsidR="00543FC2">
        <w:rPr>
          <w:rFonts w:ascii="Times New Roman" w:hAnsi="Times New Roman" w:cs="Times New Roman"/>
          <w:sz w:val="24"/>
          <w:szCs w:val="24"/>
        </w:rPr>
        <w:t xml:space="preserve">. </w:t>
      </w:r>
      <w:r w:rsidR="00543FC2" w:rsidRPr="00B61992">
        <w:rPr>
          <w:rFonts w:ascii="Times New Roman" w:hAnsi="Times New Roman" w:cs="Times New Roman"/>
          <w:sz w:val="24"/>
          <w:szCs w:val="24"/>
        </w:rPr>
        <w:t>Ekonomické vzdelávanie</w:t>
      </w:r>
      <w:r w:rsidRPr="00B61992">
        <w:rPr>
          <w:rFonts w:ascii="Times New Roman" w:hAnsi="Times New Roman" w:cs="Times New Roman"/>
          <w:sz w:val="24"/>
          <w:szCs w:val="24"/>
        </w:rPr>
        <w:t xml:space="preserve"> zahŕňa obsahové štandardy </w:t>
      </w:r>
      <w:r w:rsidR="003044A1">
        <w:rPr>
          <w:rFonts w:ascii="Times New Roman" w:hAnsi="Times New Roman" w:cs="Times New Roman"/>
          <w:sz w:val="24"/>
          <w:szCs w:val="24"/>
        </w:rPr>
        <w:t>-</w:t>
      </w:r>
      <w:r w:rsidR="00543FC2">
        <w:rPr>
          <w:rFonts w:ascii="Times New Roman" w:hAnsi="Times New Roman" w:cs="Times New Roman"/>
          <w:sz w:val="24"/>
          <w:szCs w:val="24"/>
        </w:rPr>
        <w:t xml:space="preserve"> </w:t>
      </w:r>
      <w:r w:rsidR="003044A1">
        <w:rPr>
          <w:rFonts w:ascii="Times New Roman" w:hAnsi="Times New Roman" w:cs="Times New Roman"/>
          <w:sz w:val="24"/>
          <w:szCs w:val="24"/>
        </w:rPr>
        <w:t>„</w:t>
      </w:r>
      <w:r w:rsidRPr="00B61992">
        <w:rPr>
          <w:rFonts w:ascii="Times New Roman" w:hAnsi="Times New Roman" w:cs="Times New Roman"/>
          <w:sz w:val="24"/>
          <w:szCs w:val="24"/>
        </w:rPr>
        <w:t>Výchova k</w:t>
      </w:r>
      <w:r w:rsidR="003044A1">
        <w:rPr>
          <w:rFonts w:ascii="Times New Roman" w:hAnsi="Times New Roman" w:cs="Times New Roman"/>
          <w:sz w:val="24"/>
          <w:szCs w:val="24"/>
        </w:rPr>
        <w:t> </w:t>
      </w:r>
      <w:r w:rsidRPr="00B61992">
        <w:rPr>
          <w:rFonts w:ascii="Times New Roman" w:hAnsi="Times New Roman" w:cs="Times New Roman"/>
          <w:sz w:val="24"/>
          <w:szCs w:val="24"/>
        </w:rPr>
        <w:t>podnikaniu</w:t>
      </w:r>
      <w:r w:rsidR="003044A1">
        <w:rPr>
          <w:rFonts w:ascii="Times New Roman" w:hAnsi="Times New Roman" w:cs="Times New Roman"/>
          <w:sz w:val="24"/>
          <w:szCs w:val="24"/>
        </w:rPr>
        <w:t>“</w:t>
      </w:r>
      <w:r w:rsidRPr="00B61992">
        <w:rPr>
          <w:rFonts w:ascii="Times New Roman" w:hAnsi="Times New Roman" w:cs="Times New Roman"/>
          <w:sz w:val="24"/>
          <w:szCs w:val="24"/>
        </w:rPr>
        <w:t xml:space="preserve"> a </w:t>
      </w:r>
      <w:r w:rsidR="003044A1">
        <w:rPr>
          <w:rFonts w:ascii="Times New Roman" w:hAnsi="Times New Roman" w:cs="Times New Roman"/>
          <w:sz w:val="24"/>
          <w:szCs w:val="24"/>
        </w:rPr>
        <w:t>„</w:t>
      </w:r>
      <w:r w:rsidRPr="00B61992">
        <w:rPr>
          <w:rFonts w:ascii="Times New Roman" w:hAnsi="Times New Roman" w:cs="Times New Roman"/>
          <w:sz w:val="24"/>
          <w:szCs w:val="24"/>
        </w:rPr>
        <w:t>Svet práce</w:t>
      </w:r>
      <w:r w:rsidR="003044A1">
        <w:rPr>
          <w:rFonts w:ascii="Times New Roman" w:hAnsi="Times New Roman" w:cs="Times New Roman"/>
          <w:sz w:val="24"/>
          <w:szCs w:val="24"/>
        </w:rPr>
        <w:t>“</w:t>
      </w:r>
      <w:r w:rsidRPr="00B61992">
        <w:rPr>
          <w:rFonts w:ascii="Times New Roman" w:hAnsi="Times New Roman" w:cs="Times New Roman"/>
          <w:sz w:val="24"/>
          <w:szCs w:val="24"/>
        </w:rPr>
        <w:t xml:space="preserve"> a výkonové </w:t>
      </w:r>
      <w:r w:rsidR="00EF0A03" w:rsidRPr="00B61992">
        <w:rPr>
          <w:rFonts w:ascii="Times New Roman" w:hAnsi="Times New Roman" w:cs="Times New Roman"/>
          <w:sz w:val="24"/>
          <w:szCs w:val="24"/>
        </w:rPr>
        <w:t>štandard</w:t>
      </w:r>
      <w:r w:rsidR="00EF0A03">
        <w:rPr>
          <w:rFonts w:ascii="Times New Roman" w:hAnsi="Times New Roman" w:cs="Times New Roman"/>
          <w:sz w:val="24"/>
          <w:szCs w:val="24"/>
        </w:rPr>
        <w:t>y</w:t>
      </w:r>
      <w:r w:rsidR="00EF0A03" w:rsidRPr="00B61992">
        <w:rPr>
          <w:rFonts w:ascii="Times New Roman" w:hAnsi="Times New Roman" w:cs="Times New Roman"/>
          <w:sz w:val="24"/>
          <w:szCs w:val="24"/>
        </w:rPr>
        <w:t xml:space="preserve"> </w:t>
      </w:r>
      <w:r w:rsidRPr="00B61992">
        <w:rPr>
          <w:rFonts w:ascii="Times New Roman" w:hAnsi="Times New Roman" w:cs="Times New Roman"/>
          <w:sz w:val="24"/>
          <w:szCs w:val="24"/>
        </w:rPr>
        <w:t xml:space="preserve">identifikované vo vzťahu k jednotlivým stupňom vzdelania - nižšie stredné odborné vzdelanie, stredné odborné vzdelanie a úplné stredné odborné vzdelanie. </w:t>
      </w:r>
    </w:p>
    <w:p w:rsidR="00BC4392" w:rsidRDefault="00BC4392" w:rsidP="00BC4392">
      <w:pPr>
        <w:spacing w:after="0" w:line="240" w:lineRule="auto"/>
        <w:ind w:firstLine="708"/>
        <w:jc w:val="both"/>
        <w:rPr>
          <w:rFonts w:ascii="Times New Roman" w:hAnsi="Times New Roman" w:cs="Times New Roman"/>
          <w:sz w:val="24"/>
          <w:szCs w:val="24"/>
        </w:rPr>
      </w:pPr>
      <w:r w:rsidRPr="00B61992">
        <w:rPr>
          <w:rFonts w:ascii="Times New Roman" w:hAnsi="Times New Roman" w:cs="Times New Roman"/>
          <w:sz w:val="24"/>
          <w:szCs w:val="24"/>
        </w:rPr>
        <w:t xml:space="preserve">Výučba podporujúca výchovu k podnikaniu dotvára odborný profil absolventa a jej zaradenie </w:t>
      </w:r>
      <w:r>
        <w:rPr>
          <w:rFonts w:ascii="Times New Roman" w:hAnsi="Times New Roman" w:cs="Times New Roman"/>
          <w:sz w:val="24"/>
          <w:szCs w:val="24"/>
        </w:rPr>
        <w:t>by sa malo</w:t>
      </w:r>
      <w:r w:rsidRPr="00B61992">
        <w:rPr>
          <w:rFonts w:ascii="Times New Roman" w:hAnsi="Times New Roman" w:cs="Times New Roman"/>
          <w:sz w:val="24"/>
          <w:szCs w:val="24"/>
        </w:rPr>
        <w:t xml:space="preserve"> premietnuť do školských vzdelávacích programov pre študijné a učebné odbory stredných odborných škôl ako súčasť vzdelávacieho procesu. Má svoje špecifiká, umožňuje uplatňovanie rôznych inovatívnych vyučovacích metód a je orientovaná na rozvoj vedomostí a zručností vo vzťahu k budúcej uplatniteľnosti absolventa v reálnom živote.  </w:t>
      </w:r>
    </w:p>
    <w:p w:rsidR="00473FB5" w:rsidRPr="00931C42" w:rsidRDefault="00473FB5"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2.3 Inovácie, výskum a vývoj</w:t>
      </w:r>
    </w:p>
    <w:p w:rsidR="00931C42" w:rsidRPr="00931C42" w:rsidRDefault="00931C42"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Relevantným kritériom pre posudzovanie stavu </w:t>
      </w:r>
      <w:r w:rsidR="006E5A38">
        <w:rPr>
          <w:rFonts w:ascii="Times New Roman" w:hAnsi="Times New Roman" w:cs="Times New Roman"/>
          <w:sz w:val="24"/>
          <w:szCs w:val="24"/>
        </w:rPr>
        <w:t>v</w:t>
      </w:r>
      <w:r w:rsidR="006E5A38" w:rsidRPr="00931C42">
        <w:rPr>
          <w:rFonts w:ascii="Times New Roman" w:hAnsi="Times New Roman" w:cs="Times New Roman"/>
          <w:sz w:val="24"/>
          <w:szCs w:val="24"/>
        </w:rPr>
        <w:t xml:space="preserve">ýskumu </w:t>
      </w:r>
      <w:r w:rsidRPr="00931C42">
        <w:rPr>
          <w:rFonts w:ascii="Times New Roman" w:hAnsi="Times New Roman" w:cs="Times New Roman"/>
          <w:sz w:val="24"/>
          <w:szCs w:val="24"/>
        </w:rPr>
        <w:t>a </w:t>
      </w:r>
      <w:r w:rsidR="006E5A38">
        <w:rPr>
          <w:rFonts w:ascii="Times New Roman" w:hAnsi="Times New Roman" w:cs="Times New Roman"/>
          <w:sz w:val="24"/>
          <w:szCs w:val="24"/>
        </w:rPr>
        <w:t>v</w:t>
      </w:r>
      <w:r w:rsidR="006E5A38" w:rsidRPr="00931C42">
        <w:rPr>
          <w:rFonts w:ascii="Times New Roman" w:hAnsi="Times New Roman" w:cs="Times New Roman"/>
          <w:sz w:val="24"/>
          <w:szCs w:val="24"/>
        </w:rPr>
        <w:t xml:space="preserve">ývoja </w:t>
      </w:r>
      <w:r w:rsidRPr="00931C42">
        <w:rPr>
          <w:rFonts w:ascii="Times New Roman" w:hAnsi="Times New Roman" w:cs="Times New Roman"/>
          <w:sz w:val="24"/>
          <w:szCs w:val="24"/>
        </w:rPr>
        <w:t>(ďalej tiež „</w:t>
      </w:r>
      <w:proofErr w:type="spellStart"/>
      <w:r w:rsidRPr="00931C42">
        <w:rPr>
          <w:rFonts w:ascii="Times New Roman" w:hAnsi="Times New Roman" w:cs="Times New Roman"/>
          <w:sz w:val="24"/>
          <w:szCs w:val="24"/>
        </w:rPr>
        <w:t>VaV</w:t>
      </w:r>
      <w:proofErr w:type="spellEnd"/>
      <w:r w:rsidRPr="00931C42">
        <w:rPr>
          <w:rFonts w:ascii="Times New Roman" w:hAnsi="Times New Roman" w:cs="Times New Roman"/>
          <w:sz w:val="24"/>
          <w:szCs w:val="24"/>
        </w:rPr>
        <w:t xml:space="preserve">“) je podiel výdavkov investovaných do </w:t>
      </w:r>
      <w:proofErr w:type="spellStart"/>
      <w:r w:rsidRPr="00931C42">
        <w:rPr>
          <w:rFonts w:ascii="Times New Roman" w:hAnsi="Times New Roman" w:cs="Times New Roman"/>
          <w:sz w:val="24"/>
          <w:szCs w:val="24"/>
        </w:rPr>
        <w:t>VaV</w:t>
      </w:r>
      <w:proofErr w:type="spellEnd"/>
      <w:r w:rsidRPr="00931C42">
        <w:rPr>
          <w:rFonts w:ascii="Times New Roman" w:hAnsi="Times New Roman" w:cs="Times New Roman"/>
          <w:sz w:val="24"/>
          <w:szCs w:val="24"/>
        </w:rPr>
        <w:t xml:space="preserve"> na HDP. Vo financovan</w:t>
      </w:r>
      <w:r w:rsidR="008D0B5C">
        <w:rPr>
          <w:rFonts w:ascii="Times New Roman" w:hAnsi="Times New Roman" w:cs="Times New Roman"/>
          <w:sz w:val="24"/>
          <w:szCs w:val="24"/>
        </w:rPr>
        <w:t xml:space="preserve">í </w:t>
      </w:r>
      <w:r w:rsidRPr="00931C42">
        <w:rPr>
          <w:rFonts w:ascii="Times New Roman" w:hAnsi="Times New Roman" w:cs="Times New Roman"/>
          <w:sz w:val="24"/>
          <w:szCs w:val="24"/>
        </w:rPr>
        <w:t xml:space="preserve">slovenského </w:t>
      </w:r>
      <w:proofErr w:type="spellStart"/>
      <w:r w:rsidRPr="00931C42">
        <w:rPr>
          <w:rFonts w:ascii="Times New Roman" w:hAnsi="Times New Roman" w:cs="Times New Roman"/>
          <w:sz w:val="24"/>
          <w:szCs w:val="24"/>
        </w:rPr>
        <w:t>VaV</w:t>
      </w:r>
      <w:proofErr w:type="spellEnd"/>
      <w:r w:rsidRPr="00931C42">
        <w:rPr>
          <w:rFonts w:ascii="Times New Roman" w:hAnsi="Times New Roman" w:cs="Times New Roman"/>
          <w:b/>
          <w:sz w:val="24"/>
          <w:szCs w:val="24"/>
        </w:rPr>
        <w:t xml:space="preserve"> </w:t>
      </w:r>
      <w:r w:rsidRPr="00931C42">
        <w:rPr>
          <w:rFonts w:ascii="Times New Roman" w:hAnsi="Times New Roman" w:cs="Times New Roman"/>
          <w:sz w:val="24"/>
          <w:szCs w:val="24"/>
        </w:rPr>
        <w:t>v roku 2015 bol zaznamenaný nárast celkových výdavkov - dosiahli hodnotu 927 272 tis. €, teda 1,19 % HDP (v roku 2014 predstavovali 0,89 % HDP).</w:t>
      </w:r>
    </w:p>
    <w:p w:rsidR="00931C42" w:rsidRPr="00931C42" w:rsidRDefault="00931C42" w:rsidP="00931C42">
      <w:pPr>
        <w:spacing w:after="0" w:line="240" w:lineRule="auto"/>
        <w:jc w:val="both"/>
        <w:rPr>
          <w:rFonts w:ascii="Times New Roman" w:eastAsia="Calibri"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Tabuľka 2.3.1 Výdavky na výskum a vývoj</w:t>
      </w:r>
    </w:p>
    <w:tbl>
      <w:tblPr>
        <w:tblStyle w:val="Mriekatabuky"/>
        <w:tblW w:w="0" w:type="auto"/>
        <w:tblLook w:val="04A0" w:firstRow="1" w:lastRow="0" w:firstColumn="1" w:lastColumn="0" w:noHBand="0" w:noVBand="1"/>
      </w:tblPr>
      <w:tblGrid>
        <w:gridCol w:w="2192"/>
        <w:gridCol w:w="1099"/>
        <w:gridCol w:w="1044"/>
        <w:gridCol w:w="1044"/>
        <w:gridCol w:w="1044"/>
        <w:gridCol w:w="1045"/>
        <w:gridCol w:w="1044"/>
      </w:tblGrid>
      <w:tr w:rsidR="00931C42" w:rsidRPr="00931C42" w:rsidTr="00E84387">
        <w:trPr>
          <w:trHeight w:val="245"/>
        </w:trPr>
        <w:tc>
          <w:tcPr>
            <w:tcW w:w="2192" w:type="dxa"/>
            <w:shd w:val="clear" w:color="auto" w:fill="9BBB59" w:themeFill="accent3"/>
            <w:vAlign w:val="center"/>
          </w:tcPr>
          <w:p w:rsidR="00931C42" w:rsidRPr="00931C42" w:rsidRDefault="00931C42" w:rsidP="00931C42">
            <w:pPr>
              <w:rPr>
                <w:rFonts w:ascii="Times New Roman" w:hAnsi="Times New Roman" w:cs="Times New Roman"/>
                <w:b/>
                <w:sz w:val="24"/>
                <w:szCs w:val="24"/>
              </w:rPr>
            </w:pPr>
          </w:p>
        </w:tc>
        <w:tc>
          <w:tcPr>
            <w:tcW w:w="1099" w:type="dxa"/>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2010</w:t>
            </w:r>
          </w:p>
        </w:tc>
        <w:tc>
          <w:tcPr>
            <w:tcW w:w="1044" w:type="dxa"/>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2011</w:t>
            </w:r>
          </w:p>
        </w:tc>
        <w:tc>
          <w:tcPr>
            <w:tcW w:w="1044" w:type="dxa"/>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2012</w:t>
            </w:r>
          </w:p>
        </w:tc>
        <w:tc>
          <w:tcPr>
            <w:tcW w:w="1044" w:type="dxa"/>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2013</w:t>
            </w:r>
          </w:p>
        </w:tc>
        <w:tc>
          <w:tcPr>
            <w:tcW w:w="1045" w:type="dxa"/>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2014</w:t>
            </w:r>
          </w:p>
        </w:tc>
        <w:tc>
          <w:tcPr>
            <w:tcW w:w="1044" w:type="dxa"/>
            <w:tcBorders>
              <w:bottom w:val="single" w:sz="4" w:space="0" w:color="auto"/>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2015</w:t>
            </w:r>
          </w:p>
        </w:tc>
      </w:tr>
      <w:tr w:rsidR="00931C42" w:rsidRPr="00931C42" w:rsidTr="00804E7E">
        <w:trPr>
          <w:trHeight w:val="491"/>
        </w:trPr>
        <w:tc>
          <w:tcPr>
            <w:tcW w:w="2192" w:type="dxa"/>
            <w:tcBorders>
              <w:bottom w:val="single" w:sz="4" w:space="0" w:color="auto"/>
            </w:tcBorders>
            <w:vAlign w:val="center"/>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 xml:space="preserve">Podiel výdavkov na </w:t>
            </w:r>
            <w:proofErr w:type="spellStart"/>
            <w:r w:rsidRPr="00931C42">
              <w:rPr>
                <w:rFonts w:ascii="Times New Roman" w:hAnsi="Times New Roman" w:cs="Times New Roman"/>
                <w:i/>
                <w:sz w:val="24"/>
                <w:szCs w:val="24"/>
              </w:rPr>
              <w:t>VaV</w:t>
            </w:r>
            <w:proofErr w:type="spellEnd"/>
            <w:r w:rsidRPr="00931C42">
              <w:rPr>
                <w:rFonts w:ascii="Times New Roman" w:hAnsi="Times New Roman" w:cs="Times New Roman"/>
                <w:i/>
                <w:sz w:val="24"/>
                <w:szCs w:val="24"/>
              </w:rPr>
              <w:t xml:space="preserve"> z HDP v %</w:t>
            </w:r>
          </w:p>
        </w:tc>
        <w:tc>
          <w:tcPr>
            <w:tcW w:w="1099"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0,62</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0,67</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0,81</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0,83</w:t>
            </w:r>
          </w:p>
        </w:tc>
        <w:tc>
          <w:tcPr>
            <w:tcW w:w="1045" w:type="dxa"/>
            <w:tcBorders>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0,89</w:t>
            </w:r>
          </w:p>
        </w:tc>
        <w:tc>
          <w:tcPr>
            <w:tcW w:w="1044" w:type="dxa"/>
            <w:tcBorders>
              <w:top w:val="single" w:sz="4" w:space="0" w:color="auto"/>
              <w:left w:val="single" w:sz="4" w:space="0" w:color="auto"/>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1,19</w:t>
            </w:r>
          </w:p>
        </w:tc>
      </w:tr>
      <w:tr w:rsidR="00931C42" w:rsidRPr="00931C42" w:rsidTr="00804E7E">
        <w:trPr>
          <w:trHeight w:val="491"/>
        </w:trPr>
        <w:tc>
          <w:tcPr>
            <w:tcW w:w="2192" w:type="dxa"/>
            <w:tcBorders>
              <w:bottom w:val="single" w:sz="4" w:space="0" w:color="auto"/>
            </w:tcBorders>
            <w:vAlign w:val="center"/>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Výdavky na výskum a vývoj v tis. €, z toho:</w:t>
            </w:r>
          </w:p>
        </w:tc>
        <w:tc>
          <w:tcPr>
            <w:tcW w:w="1099"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416 369</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468 439</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585 225</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610 876</w:t>
            </w:r>
          </w:p>
        </w:tc>
        <w:tc>
          <w:tcPr>
            <w:tcW w:w="1045" w:type="dxa"/>
            <w:tcBorders>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669 632</w:t>
            </w:r>
          </w:p>
        </w:tc>
        <w:tc>
          <w:tcPr>
            <w:tcW w:w="1044" w:type="dxa"/>
            <w:tcBorders>
              <w:top w:val="single" w:sz="4" w:space="0" w:color="auto"/>
              <w:left w:val="single" w:sz="4" w:space="0" w:color="auto"/>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927 272</w:t>
            </w:r>
          </w:p>
        </w:tc>
      </w:tr>
      <w:tr w:rsidR="00931C42" w:rsidRPr="00931C42" w:rsidTr="00804E7E">
        <w:trPr>
          <w:trHeight w:val="245"/>
        </w:trPr>
        <w:tc>
          <w:tcPr>
            <w:tcW w:w="2192" w:type="dxa"/>
            <w:tcBorders>
              <w:bottom w:val="single" w:sz="4" w:space="0" w:color="auto"/>
            </w:tcBorders>
            <w:vAlign w:val="center"/>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kapitálové výdavky</w:t>
            </w:r>
          </w:p>
        </w:tc>
        <w:tc>
          <w:tcPr>
            <w:tcW w:w="1099"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63 073</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94 799</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109 337</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97 300</w:t>
            </w:r>
          </w:p>
        </w:tc>
        <w:tc>
          <w:tcPr>
            <w:tcW w:w="1045" w:type="dxa"/>
            <w:tcBorders>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115 698</w:t>
            </w:r>
          </w:p>
        </w:tc>
        <w:tc>
          <w:tcPr>
            <w:tcW w:w="1044" w:type="dxa"/>
            <w:tcBorders>
              <w:top w:val="single" w:sz="4" w:space="0" w:color="auto"/>
              <w:left w:val="single" w:sz="4" w:space="0" w:color="auto"/>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374 186</w:t>
            </w:r>
          </w:p>
        </w:tc>
      </w:tr>
      <w:tr w:rsidR="00931C42" w:rsidRPr="00931C42" w:rsidTr="00804E7E">
        <w:trPr>
          <w:trHeight w:val="245"/>
        </w:trPr>
        <w:tc>
          <w:tcPr>
            <w:tcW w:w="2192" w:type="dxa"/>
            <w:tcBorders>
              <w:bottom w:val="single" w:sz="4" w:space="0" w:color="auto"/>
            </w:tcBorders>
            <w:vAlign w:val="center"/>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bežné výdavky</w:t>
            </w:r>
          </w:p>
        </w:tc>
        <w:tc>
          <w:tcPr>
            <w:tcW w:w="1099"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353 296</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373 641</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475 889</w:t>
            </w:r>
          </w:p>
        </w:tc>
        <w:tc>
          <w:tcPr>
            <w:tcW w:w="1044" w:type="dxa"/>
            <w:tcBorders>
              <w:bottom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513 576</w:t>
            </w:r>
          </w:p>
        </w:tc>
        <w:tc>
          <w:tcPr>
            <w:tcW w:w="1045" w:type="dxa"/>
            <w:tcBorders>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553 934</w:t>
            </w:r>
          </w:p>
        </w:tc>
        <w:tc>
          <w:tcPr>
            <w:tcW w:w="1044" w:type="dxa"/>
            <w:tcBorders>
              <w:top w:val="single" w:sz="4" w:space="0" w:color="auto"/>
              <w:left w:val="single" w:sz="4" w:space="0" w:color="auto"/>
              <w:bottom w:val="single" w:sz="4" w:space="0" w:color="auto"/>
              <w:right w:val="single" w:sz="4" w:space="0" w:color="auto"/>
            </w:tcBorders>
            <w:vAlign w:val="center"/>
          </w:tcPr>
          <w:p w:rsidR="00931C42" w:rsidRPr="00931C42" w:rsidRDefault="00931C42" w:rsidP="00804E7E">
            <w:pPr>
              <w:jc w:val="center"/>
              <w:rPr>
                <w:rFonts w:ascii="Times New Roman" w:hAnsi="Times New Roman" w:cs="Times New Roman"/>
                <w:sz w:val="24"/>
                <w:szCs w:val="24"/>
              </w:rPr>
            </w:pPr>
            <w:r w:rsidRPr="00931C42">
              <w:rPr>
                <w:rFonts w:ascii="Times New Roman" w:hAnsi="Times New Roman" w:cs="Times New Roman"/>
                <w:sz w:val="24"/>
                <w:szCs w:val="24"/>
              </w:rPr>
              <w:t>553 086</w:t>
            </w:r>
          </w:p>
        </w:tc>
      </w:tr>
    </w:tbl>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Štatistický úrad SR: Ročenka vedy a techniky v </w:t>
      </w:r>
      <w:r w:rsidR="00D72C96">
        <w:rPr>
          <w:rFonts w:ascii="Times New Roman" w:hAnsi="Times New Roman" w:cs="Times New Roman"/>
          <w:sz w:val="20"/>
          <w:szCs w:val="20"/>
        </w:rPr>
        <w:t>SR</w:t>
      </w:r>
      <w:r w:rsidRPr="00931C42">
        <w:rPr>
          <w:rFonts w:ascii="Times New Roman" w:hAnsi="Times New Roman" w:cs="Times New Roman"/>
          <w:sz w:val="20"/>
          <w:szCs w:val="20"/>
        </w:rPr>
        <w:t xml:space="preserve"> 2015</w:t>
      </w:r>
    </w:p>
    <w:p w:rsidR="00931C42" w:rsidRPr="00931C42" w:rsidRDefault="00931C42" w:rsidP="00931C42">
      <w:pPr>
        <w:spacing w:after="0" w:line="240" w:lineRule="auto"/>
        <w:ind w:firstLine="708"/>
        <w:jc w:val="both"/>
        <w:rPr>
          <w:rFonts w:ascii="Times New Roman" w:hAnsi="Times New Roman" w:cs="Times New Roman"/>
          <w:sz w:val="20"/>
          <w:szCs w:val="20"/>
        </w:rPr>
      </w:pPr>
    </w:p>
    <w:p w:rsidR="00931C42" w:rsidRPr="00931C42" w:rsidRDefault="003E5B09" w:rsidP="00931C4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Podľa Správy</w:t>
      </w:r>
      <w:r w:rsidRPr="003E5B09">
        <w:rPr>
          <w:rFonts w:ascii="Times New Roman" w:hAnsi="Times New Roman" w:cs="Times New Roman"/>
          <w:sz w:val="24"/>
          <w:szCs w:val="24"/>
        </w:rPr>
        <w:t xml:space="preserve"> o stave výskumu a vývoja v SR a jeho porovnaní so zahraničím za rok 2015</w:t>
      </w:r>
      <w:r>
        <w:rPr>
          <w:rFonts w:ascii="Times New Roman" w:hAnsi="Times New Roman" w:cs="Times New Roman"/>
          <w:sz w:val="24"/>
          <w:szCs w:val="24"/>
        </w:rPr>
        <w:t xml:space="preserve"> v</w:t>
      </w:r>
      <w:r w:rsidR="00931C42" w:rsidRPr="00931C42">
        <w:rPr>
          <w:rFonts w:ascii="Times New Roman" w:hAnsi="Times New Roman" w:cs="Times New Roman"/>
          <w:sz w:val="24"/>
          <w:szCs w:val="24"/>
        </w:rPr>
        <w:t>o výdavkoch na výskum a vývoj nastal na Slovensku od roku 2010 do 2015 viditeľný nárast. Percentuálny podiel voči HDP sa takmer zdvojnásobil. Tento nárast bol spôsobený výlučne kapitálovými výdavkami hlavne do infraštruktúry a zo štrukturálnych fondov EÚ. Išlo prevažne o zahraničné zdroje, ktoré zaznamenali oproti roku 2014 nárast o 67,52 %, pričom výdavky zo štátnych zdrojov vzrástli o 11,82 % a investície podnikateľského sektora o 7,69 %.</w:t>
      </w:r>
      <w:r w:rsidR="008D0B5C">
        <w:rPr>
          <w:rFonts w:ascii="Times New Roman" w:hAnsi="Times New Roman" w:cs="Times New Roman"/>
          <w:sz w:val="24"/>
          <w:szCs w:val="24"/>
        </w:rPr>
        <w:t xml:space="preserve"> </w:t>
      </w:r>
      <w:r w:rsidR="00931C42" w:rsidRPr="00931C42">
        <w:rPr>
          <w:rFonts w:ascii="Times New Roman" w:hAnsi="Times New Roman" w:cs="Times New Roman"/>
          <w:sz w:val="24"/>
          <w:szCs w:val="24"/>
        </w:rPr>
        <w:t>Napriek týmto pozitívnym ukazovateľom má však Slovensko najnižší podiel v rámci krajín V4.</w:t>
      </w:r>
    </w:p>
    <w:p w:rsidR="00931C42" w:rsidRPr="00931C42" w:rsidRDefault="00931C42" w:rsidP="00931C42">
      <w:pPr>
        <w:spacing w:after="0" w:line="240" w:lineRule="auto"/>
        <w:ind w:firstLine="708"/>
        <w:jc w:val="both"/>
        <w:rPr>
          <w:rFonts w:ascii="Times New Roman" w:hAnsi="Times New Roman" w:cs="Times New Roman"/>
          <w:sz w:val="24"/>
          <w:szCs w:val="24"/>
        </w:rPr>
      </w:pPr>
    </w:p>
    <w:p w:rsidR="00931C42" w:rsidRPr="00931C42" w:rsidRDefault="00931C42" w:rsidP="00804E7E">
      <w:pPr>
        <w:spacing w:after="0" w:line="240" w:lineRule="auto"/>
        <w:rPr>
          <w:rFonts w:ascii="Times New Roman" w:hAnsi="Times New Roman" w:cs="Times New Roman"/>
          <w:sz w:val="24"/>
          <w:szCs w:val="24"/>
        </w:rPr>
      </w:pPr>
      <w:r w:rsidRPr="00931C42">
        <w:rPr>
          <w:rFonts w:ascii="Times New Roman" w:hAnsi="Times New Roman" w:cs="Times New Roman"/>
          <w:b/>
          <w:sz w:val="24"/>
          <w:szCs w:val="24"/>
        </w:rPr>
        <w:lastRenderedPageBreak/>
        <w:t xml:space="preserve">Graf 2.3.2 Hrubé domáce výdavky na </w:t>
      </w:r>
      <w:proofErr w:type="spellStart"/>
      <w:r w:rsidRPr="00931C42">
        <w:rPr>
          <w:rFonts w:ascii="Times New Roman" w:hAnsi="Times New Roman" w:cs="Times New Roman"/>
          <w:b/>
          <w:sz w:val="24"/>
          <w:szCs w:val="24"/>
        </w:rPr>
        <w:t>VaV</w:t>
      </w:r>
      <w:proofErr w:type="spellEnd"/>
      <w:r w:rsidRPr="00931C42">
        <w:rPr>
          <w:rFonts w:ascii="Times New Roman" w:hAnsi="Times New Roman" w:cs="Times New Roman"/>
          <w:b/>
          <w:sz w:val="24"/>
          <w:szCs w:val="24"/>
        </w:rPr>
        <w:t xml:space="preserve"> krajín V4+Rakúska, 2004 – 2014 (v % HDP)</w:t>
      </w:r>
      <w:r w:rsidRPr="00931C42">
        <w:rPr>
          <w:rFonts w:ascii="Times New Roman" w:hAnsi="Times New Roman" w:cs="Times New Roman"/>
          <w:noProof/>
          <w:sz w:val="24"/>
          <w:szCs w:val="24"/>
          <w:lang w:eastAsia="sk-SK"/>
        </w:rPr>
        <w:drawing>
          <wp:inline distT="0" distB="0" distL="0" distR="0" wp14:anchorId="7DA15FAD" wp14:editId="32E061D1">
            <wp:extent cx="5273040" cy="2461260"/>
            <wp:effectExtent l="0" t="0" r="3810" b="15240"/>
            <wp:docPr id="2074" name="Graf 207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Eurostat</w:t>
      </w:r>
      <w:proofErr w:type="spellEnd"/>
      <w:r w:rsidRPr="00931C42">
        <w:rPr>
          <w:rFonts w:ascii="Times New Roman" w:hAnsi="Times New Roman" w:cs="Times New Roman"/>
          <w:sz w:val="20"/>
          <w:szCs w:val="20"/>
        </w:rPr>
        <w:t xml:space="preserve"> </w:t>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 xml:space="preserve">Tabuľka 2.3.2 Výdavky na výskum a vývoj podľa činností </w:t>
      </w:r>
    </w:p>
    <w:tbl>
      <w:tblPr>
        <w:tblStyle w:val="Mriekatabuky"/>
        <w:tblW w:w="0" w:type="auto"/>
        <w:tblLook w:val="04A0" w:firstRow="1" w:lastRow="0" w:firstColumn="1" w:lastColumn="0" w:noHBand="0" w:noVBand="1"/>
      </w:tblPr>
      <w:tblGrid>
        <w:gridCol w:w="3369"/>
        <w:gridCol w:w="1096"/>
        <w:gridCol w:w="1041"/>
        <w:gridCol w:w="1041"/>
        <w:gridCol w:w="1041"/>
        <w:gridCol w:w="1041"/>
      </w:tblGrid>
      <w:tr w:rsidR="00931C42" w:rsidRPr="00931C42" w:rsidTr="00804E7E">
        <w:tc>
          <w:tcPr>
            <w:tcW w:w="3369" w:type="dxa"/>
            <w:tcBorders>
              <w:top w:val="single" w:sz="4" w:space="0" w:color="auto"/>
              <w:right w:val="single" w:sz="4" w:space="0" w:color="auto"/>
            </w:tcBorders>
            <w:shd w:val="clear" w:color="auto" w:fill="9BBB59" w:themeFill="accent3"/>
          </w:tcPr>
          <w:p w:rsidR="00931C42" w:rsidRPr="00931C42" w:rsidRDefault="00931C42" w:rsidP="005001E7">
            <w:pPr>
              <w:jc w:val="left"/>
              <w:rPr>
                <w:rFonts w:ascii="Times New Roman" w:hAnsi="Times New Roman" w:cs="Times New Roman"/>
                <w:b/>
                <w:sz w:val="24"/>
                <w:szCs w:val="24"/>
              </w:rPr>
            </w:pPr>
            <w:r w:rsidRPr="00931C42">
              <w:rPr>
                <w:rFonts w:ascii="Times New Roman" w:hAnsi="Times New Roman" w:cs="Times New Roman"/>
                <w:b/>
                <w:sz w:val="24"/>
                <w:szCs w:val="24"/>
              </w:rPr>
              <w:t xml:space="preserve">Výdavky na </w:t>
            </w:r>
            <w:proofErr w:type="spellStart"/>
            <w:r w:rsidRPr="00931C42">
              <w:rPr>
                <w:rFonts w:ascii="Times New Roman" w:hAnsi="Times New Roman" w:cs="Times New Roman"/>
                <w:b/>
                <w:sz w:val="24"/>
                <w:szCs w:val="24"/>
              </w:rPr>
              <w:t>VaV</w:t>
            </w:r>
            <w:proofErr w:type="spellEnd"/>
            <w:r w:rsidRPr="00931C42">
              <w:rPr>
                <w:rFonts w:ascii="Times New Roman" w:hAnsi="Times New Roman" w:cs="Times New Roman"/>
                <w:b/>
                <w:sz w:val="24"/>
                <w:szCs w:val="24"/>
              </w:rPr>
              <w:t xml:space="preserve"> podľa činností </w:t>
            </w:r>
            <w:proofErr w:type="spellStart"/>
            <w:r w:rsidRPr="00931C42">
              <w:rPr>
                <w:rFonts w:ascii="Times New Roman" w:hAnsi="Times New Roman" w:cs="Times New Roman"/>
                <w:b/>
                <w:sz w:val="24"/>
                <w:szCs w:val="24"/>
              </w:rPr>
              <w:t>VaV</w:t>
            </w:r>
            <w:proofErr w:type="spellEnd"/>
            <w:r w:rsidRPr="00931C42">
              <w:rPr>
                <w:rFonts w:ascii="Times New Roman" w:hAnsi="Times New Roman" w:cs="Times New Roman"/>
                <w:b/>
                <w:sz w:val="24"/>
                <w:szCs w:val="24"/>
              </w:rPr>
              <w:t xml:space="preserve"> v tis. Eur</w:t>
            </w:r>
          </w:p>
        </w:tc>
        <w:tc>
          <w:tcPr>
            <w:tcW w:w="1096" w:type="dxa"/>
            <w:tcBorders>
              <w:top w:val="single" w:sz="4" w:space="0" w:color="auto"/>
              <w:left w:val="single" w:sz="4" w:space="0" w:color="auto"/>
              <w:bottom w:val="single" w:sz="4" w:space="0" w:color="auto"/>
              <w:right w:val="nil"/>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2010</w:t>
            </w:r>
          </w:p>
        </w:tc>
        <w:tc>
          <w:tcPr>
            <w:tcW w:w="1041" w:type="dxa"/>
            <w:tcBorders>
              <w:top w:val="single" w:sz="4" w:space="0" w:color="auto"/>
              <w:left w:val="single" w:sz="4" w:space="0" w:color="auto"/>
              <w:bottom w:val="single" w:sz="4" w:space="0" w:color="auto"/>
              <w:right w:val="nil"/>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2011</w:t>
            </w:r>
          </w:p>
        </w:tc>
        <w:tc>
          <w:tcPr>
            <w:tcW w:w="1041" w:type="dxa"/>
            <w:tcBorders>
              <w:top w:val="single" w:sz="4" w:space="0" w:color="auto"/>
              <w:left w:val="single" w:sz="4" w:space="0" w:color="auto"/>
              <w:bottom w:val="single" w:sz="4" w:space="0" w:color="auto"/>
              <w:right w:val="nil"/>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2012</w:t>
            </w:r>
          </w:p>
        </w:tc>
        <w:tc>
          <w:tcPr>
            <w:tcW w:w="1041" w:type="dxa"/>
            <w:tcBorders>
              <w:top w:val="single" w:sz="4" w:space="0" w:color="auto"/>
              <w:left w:val="single" w:sz="4" w:space="0" w:color="auto"/>
              <w:bottom w:val="single" w:sz="4" w:space="0" w:color="auto"/>
              <w:right w:val="nil"/>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2013</w:t>
            </w:r>
          </w:p>
        </w:tc>
        <w:tc>
          <w:tcPr>
            <w:tcW w:w="1041"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931C42" w:rsidRPr="00931C42" w:rsidRDefault="00931C42" w:rsidP="00E84387">
            <w:pPr>
              <w:jc w:val="center"/>
              <w:rPr>
                <w:rFonts w:ascii="Times New Roman" w:hAnsi="Times New Roman" w:cs="Times New Roman"/>
                <w:b/>
                <w:sz w:val="24"/>
                <w:szCs w:val="24"/>
              </w:rPr>
            </w:pPr>
            <w:r w:rsidRPr="00931C42">
              <w:rPr>
                <w:rFonts w:ascii="Times New Roman" w:hAnsi="Times New Roman" w:cs="Times New Roman"/>
                <w:b/>
                <w:sz w:val="24"/>
                <w:szCs w:val="24"/>
              </w:rPr>
              <w:t>2014</w:t>
            </w:r>
          </w:p>
        </w:tc>
      </w:tr>
      <w:tr w:rsidR="00931C42" w:rsidRPr="00931C42" w:rsidTr="00804E7E">
        <w:tc>
          <w:tcPr>
            <w:tcW w:w="3369" w:type="dxa"/>
            <w:tcBorders>
              <w:bottom w:val="single" w:sz="4" w:space="0" w:color="auto"/>
            </w:tcBorders>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základný výskum</w:t>
            </w:r>
          </w:p>
        </w:tc>
        <w:tc>
          <w:tcPr>
            <w:tcW w:w="1096" w:type="dxa"/>
            <w:tcBorders>
              <w:top w:val="single" w:sz="4" w:space="0" w:color="auto"/>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 xml:space="preserve">192 673 </w:t>
            </w:r>
          </w:p>
        </w:tc>
        <w:tc>
          <w:tcPr>
            <w:tcW w:w="1041" w:type="dxa"/>
            <w:tcBorders>
              <w:top w:val="single" w:sz="4" w:space="0" w:color="auto"/>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228 931</w:t>
            </w:r>
          </w:p>
        </w:tc>
        <w:tc>
          <w:tcPr>
            <w:tcW w:w="1041" w:type="dxa"/>
            <w:tcBorders>
              <w:top w:val="single" w:sz="4" w:space="0" w:color="auto"/>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277 047</w:t>
            </w:r>
          </w:p>
        </w:tc>
        <w:tc>
          <w:tcPr>
            <w:tcW w:w="1041" w:type="dxa"/>
            <w:tcBorders>
              <w:top w:val="single" w:sz="4" w:space="0" w:color="auto"/>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269 324</w:t>
            </w:r>
          </w:p>
        </w:tc>
        <w:tc>
          <w:tcPr>
            <w:tcW w:w="1041" w:type="dxa"/>
            <w:tcBorders>
              <w:top w:val="single" w:sz="4" w:space="0" w:color="auto"/>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302 002</w:t>
            </w:r>
          </w:p>
        </w:tc>
      </w:tr>
      <w:tr w:rsidR="00931C42" w:rsidRPr="00931C42" w:rsidTr="00804E7E">
        <w:tc>
          <w:tcPr>
            <w:tcW w:w="3369" w:type="dxa"/>
            <w:tcBorders>
              <w:bottom w:val="single" w:sz="4" w:space="0" w:color="auto"/>
            </w:tcBorders>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aplikovaný výskum</w:t>
            </w:r>
          </w:p>
        </w:tc>
        <w:tc>
          <w:tcPr>
            <w:tcW w:w="1096"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 xml:space="preserve">98 573 </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115 391</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137 282</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145 563</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190 334</w:t>
            </w:r>
          </w:p>
        </w:tc>
      </w:tr>
      <w:tr w:rsidR="00931C42" w:rsidRPr="00931C42" w:rsidTr="00804E7E">
        <w:tc>
          <w:tcPr>
            <w:tcW w:w="3369" w:type="dxa"/>
            <w:tcBorders>
              <w:bottom w:val="single" w:sz="4" w:space="0" w:color="auto"/>
            </w:tcBorders>
          </w:tcPr>
          <w:p w:rsidR="00931C42" w:rsidRPr="00931C42" w:rsidRDefault="00931C42" w:rsidP="00931C42">
            <w:pPr>
              <w:rPr>
                <w:rFonts w:ascii="Times New Roman" w:hAnsi="Times New Roman" w:cs="Times New Roman"/>
                <w:i/>
                <w:sz w:val="24"/>
                <w:szCs w:val="24"/>
              </w:rPr>
            </w:pPr>
            <w:r w:rsidRPr="00931C42">
              <w:rPr>
                <w:rFonts w:ascii="Times New Roman" w:hAnsi="Times New Roman" w:cs="Times New Roman"/>
                <w:i/>
                <w:sz w:val="24"/>
                <w:szCs w:val="24"/>
              </w:rPr>
              <w:t>vývoj</w:t>
            </w:r>
          </w:p>
        </w:tc>
        <w:tc>
          <w:tcPr>
            <w:tcW w:w="1096"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 xml:space="preserve">125 123 </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124 117</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170 896</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195 989</w:t>
            </w:r>
          </w:p>
        </w:tc>
        <w:tc>
          <w:tcPr>
            <w:tcW w:w="1041" w:type="dxa"/>
            <w:tcBorders>
              <w:bottom w:val="single" w:sz="4" w:space="0" w:color="auto"/>
            </w:tcBorders>
            <w:vAlign w:val="center"/>
          </w:tcPr>
          <w:p w:rsidR="00931C42" w:rsidRPr="00931C42" w:rsidRDefault="00931C42" w:rsidP="00931C42">
            <w:pPr>
              <w:rPr>
                <w:rFonts w:ascii="Times New Roman" w:hAnsi="Times New Roman" w:cs="Times New Roman"/>
                <w:sz w:val="24"/>
                <w:szCs w:val="24"/>
              </w:rPr>
            </w:pPr>
            <w:r w:rsidRPr="00931C42">
              <w:rPr>
                <w:rFonts w:ascii="Times New Roman" w:hAnsi="Times New Roman" w:cs="Times New Roman"/>
                <w:sz w:val="24"/>
                <w:szCs w:val="24"/>
              </w:rPr>
              <w:t>177 296</w:t>
            </w:r>
          </w:p>
        </w:tc>
      </w:tr>
    </w:tbl>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Štatistický úrad SR: Ročenka vedy a techniky v </w:t>
      </w:r>
      <w:r w:rsidR="00D72C96">
        <w:rPr>
          <w:rFonts w:ascii="Times New Roman" w:hAnsi="Times New Roman" w:cs="Times New Roman"/>
          <w:sz w:val="20"/>
          <w:szCs w:val="20"/>
        </w:rPr>
        <w:t>SR</w:t>
      </w:r>
      <w:r w:rsidRPr="00931C42">
        <w:rPr>
          <w:rFonts w:ascii="Times New Roman" w:hAnsi="Times New Roman" w:cs="Times New Roman"/>
          <w:sz w:val="20"/>
          <w:szCs w:val="20"/>
        </w:rPr>
        <w:t xml:space="preserve"> 2015, ISBN 978-80-8121-396-0</w:t>
      </w:r>
    </w:p>
    <w:p w:rsidR="00DB4855"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931C42" w:rsidRPr="00931C42" w:rsidRDefault="008D0B5C" w:rsidP="00931C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931C42" w:rsidRPr="00931C42">
        <w:rPr>
          <w:rFonts w:ascii="Times New Roman" w:hAnsi="Times New Roman" w:cs="Times New Roman"/>
          <w:sz w:val="24"/>
          <w:szCs w:val="24"/>
        </w:rPr>
        <w:t>Slovensko je podľa hodnotiacej správy Európske</w:t>
      </w:r>
      <w:r w:rsidR="00563DF8">
        <w:rPr>
          <w:rFonts w:ascii="Times New Roman" w:hAnsi="Times New Roman" w:cs="Times New Roman"/>
          <w:sz w:val="24"/>
          <w:szCs w:val="24"/>
        </w:rPr>
        <w:t>j</w:t>
      </w:r>
      <w:r w:rsidR="00931C42" w:rsidRPr="00931C42">
        <w:rPr>
          <w:rFonts w:ascii="Times New Roman" w:hAnsi="Times New Roman" w:cs="Times New Roman"/>
          <w:sz w:val="24"/>
          <w:szCs w:val="24"/>
        </w:rPr>
        <w:t xml:space="preserve"> komisie „</w:t>
      </w:r>
      <w:proofErr w:type="spellStart"/>
      <w:r w:rsidR="00931C42" w:rsidRPr="00804E7E">
        <w:rPr>
          <w:rFonts w:ascii="Times New Roman" w:hAnsi="Times New Roman" w:cs="Times New Roman"/>
          <w:i/>
          <w:sz w:val="24"/>
          <w:szCs w:val="24"/>
        </w:rPr>
        <w:t>European</w:t>
      </w:r>
      <w:proofErr w:type="spellEnd"/>
      <w:r w:rsidR="00931C42" w:rsidRPr="00804E7E">
        <w:rPr>
          <w:rFonts w:ascii="Times New Roman" w:hAnsi="Times New Roman" w:cs="Times New Roman"/>
          <w:i/>
          <w:sz w:val="24"/>
          <w:szCs w:val="24"/>
        </w:rPr>
        <w:t xml:space="preserve"> </w:t>
      </w:r>
      <w:proofErr w:type="spellStart"/>
      <w:r w:rsidR="00931C42" w:rsidRPr="00804E7E">
        <w:rPr>
          <w:rFonts w:ascii="Times New Roman" w:hAnsi="Times New Roman" w:cs="Times New Roman"/>
          <w:i/>
          <w:sz w:val="24"/>
          <w:szCs w:val="24"/>
        </w:rPr>
        <w:t>Innovation</w:t>
      </w:r>
      <w:proofErr w:type="spellEnd"/>
      <w:r w:rsidR="00931C42" w:rsidRPr="00804E7E">
        <w:rPr>
          <w:rFonts w:ascii="Times New Roman" w:hAnsi="Times New Roman" w:cs="Times New Roman"/>
          <w:i/>
          <w:sz w:val="24"/>
          <w:szCs w:val="24"/>
        </w:rPr>
        <w:t xml:space="preserve"> </w:t>
      </w:r>
      <w:proofErr w:type="spellStart"/>
      <w:r w:rsidR="00931C42" w:rsidRPr="00804E7E">
        <w:rPr>
          <w:rFonts w:ascii="Times New Roman" w:hAnsi="Times New Roman" w:cs="Times New Roman"/>
          <w:i/>
          <w:sz w:val="24"/>
          <w:szCs w:val="24"/>
        </w:rPr>
        <w:t>Scoreboard</w:t>
      </w:r>
      <w:proofErr w:type="spellEnd"/>
      <w:r w:rsidR="00931C42" w:rsidRPr="00804E7E">
        <w:rPr>
          <w:rFonts w:ascii="Times New Roman" w:hAnsi="Times New Roman" w:cs="Times New Roman"/>
          <w:i/>
          <w:sz w:val="24"/>
          <w:szCs w:val="24"/>
        </w:rPr>
        <w:t xml:space="preserve"> 2016“</w:t>
      </w:r>
      <w:r w:rsidR="00931C42" w:rsidRPr="00212737">
        <w:rPr>
          <w:rFonts w:ascii="Times New Roman" w:hAnsi="Times New Roman" w:cs="Times New Roman"/>
          <w:sz w:val="24"/>
          <w:szCs w:val="24"/>
        </w:rPr>
        <w:t xml:space="preserve"> z </w:t>
      </w:r>
      <w:r w:rsidR="00931C42" w:rsidRPr="00931C42">
        <w:rPr>
          <w:rFonts w:ascii="Times New Roman" w:hAnsi="Times New Roman" w:cs="Times New Roman"/>
          <w:sz w:val="24"/>
          <w:szCs w:val="24"/>
        </w:rPr>
        <w:t>hľadiska inovačnej výkonnosti zaradené do 3</w:t>
      </w:r>
      <w:r w:rsidR="00804E7E">
        <w:rPr>
          <w:rFonts w:ascii="Times New Roman" w:hAnsi="Times New Roman" w:cs="Times New Roman"/>
          <w:sz w:val="24"/>
          <w:szCs w:val="24"/>
        </w:rPr>
        <w:t>.</w:t>
      </w:r>
      <w:r w:rsidR="00931C42" w:rsidRPr="00931C42">
        <w:rPr>
          <w:rFonts w:ascii="Times New Roman" w:hAnsi="Times New Roman" w:cs="Times New Roman"/>
          <w:sz w:val="24"/>
          <w:szCs w:val="24"/>
        </w:rPr>
        <w:t xml:space="preserve"> zo 4 skupín, tzv. </w:t>
      </w:r>
      <w:r w:rsidR="00804E7E">
        <w:rPr>
          <w:rFonts w:ascii="Times New Roman" w:hAnsi="Times New Roman" w:cs="Times New Roman"/>
          <w:sz w:val="24"/>
          <w:szCs w:val="24"/>
        </w:rPr>
        <w:t>„</w:t>
      </w:r>
      <w:proofErr w:type="spellStart"/>
      <w:r w:rsidR="00931C42" w:rsidRPr="00931C42">
        <w:rPr>
          <w:rFonts w:ascii="Times New Roman" w:hAnsi="Times New Roman" w:cs="Times New Roman"/>
          <w:sz w:val="24"/>
          <w:szCs w:val="24"/>
        </w:rPr>
        <w:t>Moderate</w:t>
      </w:r>
      <w:proofErr w:type="spellEnd"/>
      <w:r w:rsidR="00931C42" w:rsidRPr="00931C42">
        <w:rPr>
          <w:rFonts w:ascii="Times New Roman" w:hAnsi="Times New Roman" w:cs="Times New Roman"/>
          <w:sz w:val="24"/>
          <w:szCs w:val="24"/>
        </w:rPr>
        <w:t xml:space="preserve"> </w:t>
      </w:r>
      <w:proofErr w:type="spellStart"/>
      <w:r w:rsidR="00931C42" w:rsidRPr="00931C42">
        <w:rPr>
          <w:rFonts w:ascii="Times New Roman" w:hAnsi="Times New Roman" w:cs="Times New Roman"/>
          <w:sz w:val="24"/>
          <w:szCs w:val="24"/>
        </w:rPr>
        <w:t>Innovator</w:t>
      </w:r>
      <w:proofErr w:type="spellEnd"/>
      <w:r w:rsidR="00931C42" w:rsidRPr="00931C42">
        <w:rPr>
          <w:rFonts w:ascii="Times New Roman" w:hAnsi="Times New Roman" w:cs="Times New Roman"/>
          <w:sz w:val="24"/>
          <w:szCs w:val="24"/>
        </w:rPr>
        <w:t>“ krajiny, teda krajiny s miernejším inovačným výkonom. Ide o krajiny, ktoré dosahujú inovačný výkon medzi 50 % a 90 % priemeru EÚ. Spolu so SR do tejto skupiny patria Chorvátsko, Cyprus, Česká republika, Estónsko, Grécko, Maďarsko, Taliansko, Lotyšsko, Litva, Malta, Poľsko, Portugalsko a Španielsko. V SR sa inovačná výkonnosť zvyšuje od roku 2008, aj keď v rokoch 2011 a 2012 klesla. Inovačná výkonnosť vo vzťahu k EÚ vykazuje podobný trend – vrchol dosiahla v roku 2014 takmer 68 % priemeru EÚ, v roku 2015 je na úrovni 67 % priemeru EÚ.</w:t>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 xml:space="preserve">Graf 2.3.3 Vývoj inovačnej výkonnosti SR 2008 – 2015 a porovnanie </w:t>
      </w:r>
      <w:r w:rsidR="00ED0902">
        <w:rPr>
          <w:rFonts w:ascii="Times New Roman" w:hAnsi="Times New Roman" w:cs="Times New Roman"/>
          <w:b/>
          <w:sz w:val="24"/>
          <w:szCs w:val="24"/>
        </w:rPr>
        <w:t xml:space="preserve">s </w:t>
      </w:r>
      <w:r w:rsidRPr="00931C42">
        <w:rPr>
          <w:rFonts w:ascii="Times New Roman" w:hAnsi="Times New Roman" w:cs="Times New Roman"/>
          <w:b/>
          <w:sz w:val="24"/>
          <w:szCs w:val="24"/>
        </w:rPr>
        <w:t>priemerom EÚ</w:t>
      </w:r>
    </w:p>
    <w:p w:rsidR="00931C42" w:rsidRPr="00931C42" w:rsidRDefault="00BF3B51" w:rsidP="00931C42">
      <w:pPr>
        <w:spacing w:after="0" w:line="240" w:lineRule="auto"/>
        <w:jc w:val="both"/>
        <w:rPr>
          <w:rFonts w:ascii="Times New Roman" w:hAnsi="Times New Roman" w:cs="Times New Roman"/>
          <w:sz w:val="24"/>
          <w:szCs w:val="24"/>
        </w:rPr>
      </w:pPr>
      <w:r>
        <w:rPr>
          <w:noProof/>
          <w:lang w:eastAsia="sk-SK"/>
        </w:rPr>
        <w:drawing>
          <wp:inline distT="0" distB="0" distL="0" distR="0" wp14:anchorId="65154D0A" wp14:editId="7D3968B9">
            <wp:extent cx="4274611" cy="2703444"/>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276191" cy="2704443"/>
                    </a:xfrm>
                    <a:prstGeom prst="rect">
                      <a:avLst/>
                    </a:prstGeom>
                  </pic:spPr>
                </pic:pic>
              </a:graphicData>
            </a:graphic>
          </wp:inline>
        </w:drawing>
      </w:r>
    </w:p>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w:t>
      </w:r>
      <w:proofErr w:type="spellStart"/>
      <w:r w:rsidRPr="00931C42">
        <w:rPr>
          <w:rFonts w:ascii="Times New Roman" w:hAnsi="Times New Roman" w:cs="Times New Roman"/>
          <w:sz w:val="20"/>
          <w:szCs w:val="20"/>
        </w:rPr>
        <w:t>European</w:t>
      </w:r>
      <w:proofErr w:type="spellEnd"/>
      <w:r w:rsidRPr="00931C42">
        <w:rPr>
          <w:rFonts w:ascii="Times New Roman" w:hAnsi="Times New Roman" w:cs="Times New Roman"/>
          <w:sz w:val="20"/>
          <w:szCs w:val="20"/>
        </w:rPr>
        <w:t xml:space="preserve"> </w:t>
      </w:r>
      <w:proofErr w:type="spellStart"/>
      <w:r w:rsidRPr="00931C42">
        <w:rPr>
          <w:rFonts w:ascii="Times New Roman" w:hAnsi="Times New Roman" w:cs="Times New Roman"/>
          <w:sz w:val="20"/>
          <w:szCs w:val="20"/>
        </w:rPr>
        <w:t>Innovation</w:t>
      </w:r>
      <w:proofErr w:type="spellEnd"/>
      <w:r w:rsidRPr="00931C42">
        <w:rPr>
          <w:rFonts w:ascii="Times New Roman" w:hAnsi="Times New Roman" w:cs="Times New Roman"/>
          <w:sz w:val="20"/>
          <w:szCs w:val="20"/>
        </w:rPr>
        <w:t xml:space="preserve"> </w:t>
      </w:r>
      <w:proofErr w:type="spellStart"/>
      <w:r w:rsidRPr="00931C42">
        <w:rPr>
          <w:rFonts w:ascii="Times New Roman" w:hAnsi="Times New Roman" w:cs="Times New Roman"/>
          <w:sz w:val="20"/>
          <w:szCs w:val="20"/>
        </w:rPr>
        <w:t>Scoreboard</w:t>
      </w:r>
      <w:proofErr w:type="spellEnd"/>
      <w:r w:rsidRPr="00931C42">
        <w:rPr>
          <w:rFonts w:ascii="Times New Roman" w:hAnsi="Times New Roman" w:cs="Times New Roman"/>
          <w:sz w:val="20"/>
          <w:szCs w:val="20"/>
        </w:rPr>
        <w:t xml:space="preserve"> 2016</w:t>
      </w:r>
    </w:p>
    <w:p w:rsid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931C42" w:rsidRPr="00931C42" w:rsidRDefault="00931C42" w:rsidP="00E84387">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lastRenderedPageBreak/>
        <w:tab/>
      </w:r>
      <w:r w:rsidR="00ED0902">
        <w:rPr>
          <w:rFonts w:ascii="Times New Roman" w:hAnsi="Times New Roman" w:cs="Times New Roman"/>
          <w:sz w:val="24"/>
          <w:szCs w:val="24"/>
        </w:rPr>
        <w:t>I</w:t>
      </w:r>
      <w:r w:rsidRPr="00931C42">
        <w:rPr>
          <w:rFonts w:ascii="Times New Roman" w:hAnsi="Times New Roman" w:cs="Times New Roman"/>
          <w:sz w:val="24"/>
          <w:szCs w:val="24"/>
        </w:rPr>
        <w:t>novačná výkonnosť oproti hodnoteniu 2015 sa pri väčšine</w:t>
      </w:r>
      <w:r w:rsidR="00ED0902">
        <w:rPr>
          <w:rFonts w:ascii="Times New Roman" w:hAnsi="Times New Roman" w:cs="Times New Roman"/>
          <w:sz w:val="24"/>
          <w:szCs w:val="24"/>
        </w:rPr>
        <w:t xml:space="preserve"> </w:t>
      </w:r>
      <w:r w:rsidRPr="00931C42">
        <w:rPr>
          <w:rFonts w:ascii="Times New Roman" w:hAnsi="Times New Roman" w:cs="Times New Roman"/>
          <w:sz w:val="24"/>
          <w:szCs w:val="24"/>
        </w:rPr>
        <w:t xml:space="preserve">ukazovateľov </w:t>
      </w:r>
      <w:r w:rsidR="00ED0902">
        <w:rPr>
          <w:rFonts w:ascii="Times New Roman" w:hAnsi="Times New Roman" w:cs="Times New Roman"/>
          <w:sz w:val="24"/>
          <w:szCs w:val="24"/>
        </w:rPr>
        <w:t>hodnotenia</w:t>
      </w:r>
      <w:r w:rsidR="00ED0902" w:rsidRPr="00931C42">
        <w:rPr>
          <w:rFonts w:ascii="Times New Roman" w:hAnsi="Times New Roman" w:cs="Times New Roman"/>
          <w:sz w:val="24"/>
          <w:szCs w:val="24"/>
        </w:rPr>
        <w:t xml:space="preserve"> </w:t>
      </w:r>
      <w:r w:rsidRPr="00931C42">
        <w:rPr>
          <w:rFonts w:ascii="Times New Roman" w:hAnsi="Times New Roman" w:cs="Times New Roman"/>
          <w:sz w:val="24"/>
          <w:szCs w:val="24"/>
        </w:rPr>
        <w:t>zlepšila. Silnou stránkou SR z hľadiska ukazovateľov sú Podiel predaja nových inovácií a Noví absolventi doktorandského štúdia. N</w:t>
      </w:r>
      <w:r w:rsidR="00ED0902">
        <w:rPr>
          <w:rFonts w:ascii="Times New Roman" w:hAnsi="Times New Roman" w:cs="Times New Roman"/>
          <w:sz w:val="24"/>
          <w:szCs w:val="24"/>
        </w:rPr>
        <w:t>ižšie</w:t>
      </w:r>
      <w:r w:rsidRPr="00931C42">
        <w:rPr>
          <w:rFonts w:ascii="Times New Roman" w:hAnsi="Times New Roman" w:cs="Times New Roman"/>
          <w:sz w:val="24"/>
          <w:szCs w:val="24"/>
        </w:rPr>
        <w:t xml:space="preserve"> hodnoty dosahuje SR v indikátoroch Licencie a výnosy z patentov zo zahraničia, Medzinárodné žiadosti o udelenie patentu na riešenie spoločenských problémov, Mimo</w:t>
      </w:r>
      <w:r w:rsidR="004959BD">
        <w:rPr>
          <w:rFonts w:ascii="Times New Roman" w:hAnsi="Times New Roman" w:cs="Times New Roman"/>
          <w:sz w:val="24"/>
          <w:szCs w:val="24"/>
        </w:rPr>
        <w:t>eur</w:t>
      </w:r>
      <w:r w:rsidRPr="00931C42">
        <w:rPr>
          <w:rFonts w:ascii="Times New Roman" w:hAnsi="Times New Roman" w:cs="Times New Roman"/>
          <w:sz w:val="24"/>
          <w:szCs w:val="24"/>
        </w:rPr>
        <w:t>ópski študenti doktorandského štúdia a Rizikový kapitál. Najväčší nárast zaznamenal ukazovateľ Mimo</w:t>
      </w:r>
      <w:r w:rsidR="004959BD">
        <w:rPr>
          <w:rFonts w:ascii="Times New Roman" w:hAnsi="Times New Roman" w:cs="Times New Roman"/>
          <w:sz w:val="24"/>
          <w:szCs w:val="24"/>
        </w:rPr>
        <w:t>eur</w:t>
      </w:r>
      <w:r w:rsidRPr="00931C42">
        <w:rPr>
          <w:rFonts w:ascii="Times New Roman" w:hAnsi="Times New Roman" w:cs="Times New Roman"/>
          <w:sz w:val="24"/>
          <w:szCs w:val="24"/>
        </w:rPr>
        <w:t xml:space="preserve">ópski študenti doktorandského štúdia (16 %), </w:t>
      </w:r>
      <w:r w:rsidR="00A55910">
        <w:rPr>
          <w:rFonts w:ascii="Times New Roman" w:hAnsi="Times New Roman" w:cs="Times New Roman"/>
          <w:sz w:val="24"/>
          <w:szCs w:val="24"/>
        </w:rPr>
        <w:t>O</w:t>
      </w:r>
      <w:r w:rsidRPr="00931C42">
        <w:rPr>
          <w:rFonts w:ascii="Times New Roman" w:hAnsi="Times New Roman" w:cs="Times New Roman"/>
          <w:sz w:val="24"/>
          <w:szCs w:val="24"/>
        </w:rPr>
        <w:t xml:space="preserve">chranné známky (12 %) a </w:t>
      </w:r>
      <w:r w:rsidR="00A55910">
        <w:rPr>
          <w:rFonts w:ascii="Times New Roman" w:hAnsi="Times New Roman" w:cs="Times New Roman"/>
          <w:sz w:val="24"/>
          <w:szCs w:val="24"/>
        </w:rPr>
        <w:t>V</w:t>
      </w:r>
      <w:r w:rsidRPr="00931C42">
        <w:rPr>
          <w:rFonts w:ascii="Times New Roman" w:hAnsi="Times New Roman" w:cs="Times New Roman"/>
          <w:sz w:val="24"/>
          <w:szCs w:val="24"/>
        </w:rPr>
        <w:t xml:space="preserve">ýdavky na výskum a vývoj vo verejnom sektore (11 %). </w:t>
      </w:r>
      <w:r w:rsidR="00ED0902">
        <w:rPr>
          <w:rFonts w:ascii="Times New Roman" w:hAnsi="Times New Roman" w:cs="Times New Roman"/>
          <w:sz w:val="24"/>
          <w:szCs w:val="24"/>
        </w:rPr>
        <w:t>P</w:t>
      </w:r>
      <w:r w:rsidRPr="00931C42">
        <w:rPr>
          <w:rFonts w:ascii="Times New Roman" w:hAnsi="Times New Roman" w:cs="Times New Roman"/>
          <w:sz w:val="24"/>
          <w:szCs w:val="24"/>
        </w:rPr>
        <w:t>okles bol zaznamenaný v ukazovateli Licencie a výnosy z patentov zo zahraničia (-25 %) a Výdavky na</w:t>
      </w:r>
      <w:r w:rsidR="00822962">
        <w:rPr>
          <w:rFonts w:ascii="Times New Roman" w:hAnsi="Times New Roman" w:cs="Times New Roman"/>
          <w:sz w:val="24"/>
          <w:szCs w:val="24"/>
        </w:rPr>
        <w:t xml:space="preserve"> inovácie mimo výskumu a vývoja </w:t>
      </w:r>
      <w:r w:rsidRPr="00931C42">
        <w:rPr>
          <w:rFonts w:ascii="Times New Roman" w:hAnsi="Times New Roman" w:cs="Times New Roman"/>
          <w:sz w:val="24"/>
          <w:szCs w:val="24"/>
        </w:rPr>
        <w:t>(-8,8 %).</w:t>
      </w:r>
    </w:p>
    <w:p w:rsidR="00931C42" w:rsidRPr="00931C42" w:rsidRDefault="00931C42" w:rsidP="000D52B8">
      <w:pPr>
        <w:spacing w:after="0" w:line="240" w:lineRule="auto"/>
        <w:ind w:firstLine="708"/>
        <w:jc w:val="both"/>
        <w:rPr>
          <w:rFonts w:ascii="Times New Roman" w:hAnsi="Times New Roman" w:cs="Times New Roman"/>
          <w:sz w:val="24"/>
          <w:szCs w:val="24"/>
        </w:rPr>
      </w:pPr>
    </w:p>
    <w:p w:rsidR="00931C42" w:rsidRDefault="00931C42" w:rsidP="000D52B8">
      <w:pPr>
        <w:spacing w:after="0" w:line="240" w:lineRule="auto"/>
        <w:jc w:val="both"/>
        <w:rPr>
          <w:rFonts w:ascii="Times New Roman" w:eastAsia="Times New Roman" w:hAnsi="Times New Roman" w:cs="Times New Roman"/>
          <w:b/>
          <w:sz w:val="24"/>
          <w:szCs w:val="24"/>
          <w:lang w:eastAsia="sk-SK"/>
        </w:rPr>
      </w:pPr>
      <w:r w:rsidRPr="00931C42">
        <w:rPr>
          <w:rFonts w:ascii="Times New Roman" w:eastAsia="Times New Roman" w:hAnsi="Times New Roman" w:cs="Times New Roman"/>
          <w:b/>
          <w:sz w:val="24"/>
          <w:szCs w:val="24"/>
          <w:lang w:eastAsia="sk-SK"/>
        </w:rPr>
        <w:t>2.4 Daňové zaťaženie</w:t>
      </w:r>
    </w:p>
    <w:p w:rsidR="000D52B8" w:rsidRPr="00931C42" w:rsidRDefault="000D52B8" w:rsidP="000D52B8">
      <w:pPr>
        <w:spacing w:after="0" w:line="240" w:lineRule="auto"/>
        <w:jc w:val="both"/>
        <w:rPr>
          <w:rFonts w:ascii="Times New Roman" w:eastAsia="Times New Roman" w:hAnsi="Times New Roman" w:cs="Times New Roman"/>
          <w:b/>
          <w:sz w:val="24"/>
          <w:szCs w:val="24"/>
          <w:lang w:eastAsia="sk-SK"/>
        </w:rPr>
      </w:pPr>
    </w:p>
    <w:p w:rsidR="00931C42" w:rsidRDefault="00DB4855" w:rsidP="000D52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Novela zákona o dani z príjmov znižuje sadzbu dane z príjmu právnických osôb z 22 na 21 % s účinnosťou od 1. januára 2017. </w:t>
      </w:r>
      <w:r w:rsidR="00931C42" w:rsidRPr="00931C42">
        <w:rPr>
          <w:rFonts w:ascii="Times New Roman" w:hAnsi="Times New Roman" w:cs="Times New Roman"/>
          <w:sz w:val="24"/>
          <w:szCs w:val="24"/>
        </w:rPr>
        <w:t xml:space="preserve">V  Českej republike a v Poľsku je </w:t>
      </w:r>
      <w:r w:rsidR="00804E7E">
        <w:rPr>
          <w:rFonts w:ascii="Times New Roman" w:hAnsi="Times New Roman" w:cs="Times New Roman"/>
          <w:sz w:val="24"/>
          <w:szCs w:val="24"/>
        </w:rPr>
        <w:t>sadzba dane na úrovni</w:t>
      </w:r>
      <w:r w:rsidR="00931C42" w:rsidRPr="00931C42">
        <w:rPr>
          <w:rFonts w:ascii="Times New Roman" w:hAnsi="Times New Roman" w:cs="Times New Roman"/>
          <w:sz w:val="24"/>
          <w:szCs w:val="24"/>
        </w:rPr>
        <w:t xml:space="preserve"> 19 %.  V Maďarsku je </w:t>
      </w:r>
      <w:r w:rsidR="00804E7E">
        <w:rPr>
          <w:rFonts w:ascii="Times New Roman" w:hAnsi="Times New Roman" w:cs="Times New Roman"/>
          <w:sz w:val="24"/>
          <w:szCs w:val="24"/>
        </w:rPr>
        <w:t xml:space="preserve">to </w:t>
      </w:r>
      <w:r w:rsidR="00931C42" w:rsidRPr="00931C42">
        <w:rPr>
          <w:rFonts w:ascii="Times New Roman" w:hAnsi="Times New Roman" w:cs="Times New Roman"/>
          <w:sz w:val="24"/>
          <w:szCs w:val="24"/>
        </w:rPr>
        <w:t xml:space="preserve">19 %, avšak pri splnení zákonných podmienok môžu malé spoločnosti odvádzať daň z príjmu právnických osôb len 10 % zo zisku. </w:t>
      </w:r>
    </w:p>
    <w:p w:rsidR="000D52B8" w:rsidRPr="00931C42" w:rsidRDefault="000D52B8" w:rsidP="000D52B8">
      <w:pPr>
        <w:spacing w:after="0" w:line="240" w:lineRule="auto"/>
        <w:ind w:firstLine="709"/>
        <w:jc w:val="both"/>
        <w:rPr>
          <w:rFonts w:ascii="Times New Roman" w:hAnsi="Times New Roman" w:cs="Times New Roman"/>
          <w:sz w:val="24"/>
          <w:szCs w:val="24"/>
        </w:rPr>
      </w:pPr>
    </w:p>
    <w:p w:rsidR="00931C42" w:rsidRPr="00931C42" w:rsidRDefault="00931C42" w:rsidP="00931C42">
      <w:pPr>
        <w:spacing w:after="0" w:line="240" w:lineRule="auto"/>
        <w:rPr>
          <w:rFonts w:ascii="Times New Roman" w:eastAsia="Times New Roman" w:hAnsi="Times New Roman" w:cs="Times New Roman"/>
          <w:b/>
          <w:bCs/>
          <w:sz w:val="24"/>
          <w:szCs w:val="24"/>
        </w:rPr>
      </w:pPr>
      <w:bookmarkStart w:id="0" w:name="_Toc397721514"/>
      <w:r w:rsidRPr="00931C42">
        <w:rPr>
          <w:rFonts w:ascii="Times New Roman" w:eastAsia="Times New Roman" w:hAnsi="Times New Roman" w:cs="Times New Roman"/>
          <w:b/>
          <w:bCs/>
          <w:sz w:val="24"/>
          <w:szCs w:val="24"/>
        </w:rPr>
        <w:t xml:space="preserve">Graf 2.4.1 Daň z príjmu právnických osôb </w:t>
      </w:r>
      <w:bookmarkEnd w:id="0"/>
      <w:r w:rsidRPr="00931C42">
        <w:rPr>
          <w:rFonts w:ascii="Times New Roman" w:eastAsia="Times New Roman" w:hAnsi="Times New Roman" w:cs="Times New Roman"/>
          <w:b/>
          <w:bCs/>
          <w:sz w:val="24"/>
          <w:szCs w:val="24"/>
        </w:rPr>
        <w:t>krajín V4</w:t>
      </w:r>
      <w:r w:rsidR="00D565B0">
        <w:rPr>
          <w:rFonts w:ascii="Times New Roman" w:eastAsia="Times New Roman" w:hAnsi="Times New Roman" w:cs="Times New Roman"/>
          <w:b/>
          <w:bCs/>
          <w:sz w:val="24"/>
          <w:szCs w:val="24"/>
        </w:rPr>
        <w:t xml:space="preserve"> v %</w:t>
      </w:r>
    </w:p>
    <w:p w:rsidR="00931C42" w:rsidRPr="00931C42" w:rsidRDefault="00931C42" w:rsidP="00931C42">
      <w:pPr>
        <w:spacing w:after="0" w:line="240" w:lineRule="auto"/>
        <w:jc w:val="both"/>
        <w:rPr>
          <w:rFonts w:ascii="Times New Roman" w:hAnsi="Times New Roman" w:cs="Times New Roman"/>
        </w:rPr>
      </w:pPr>
      <w:r w:rsidRPr="00931C42">
        <w:rPr>
          <w:rFonts w:ascii="Times New Roman" w:hAnsi="Times New Roman" w:cs="Times New Roman"/>
          <w:noProof/>
          <w:lang w:eastAsia="sk-SK"/>
        </w:rPr>
        <w:drawing>
          <wp:inline distT="0" distB="0" distL="0" distR="0" wp14:anchorId="1E737739" wp14:editId="4EB17C7B">
            <wp:extent cx="5788325" cy="2191109"/>
            <wp:effectExtent l="0" t="0" r="22225" b="19050"/>
            <wp:docPr id="2077" name="Graf 207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31C42" w:rsidRPr="00931C42" w:rsidRDefault="00931C42" w:rsidP="00931C42">
      <w:pPr>
        <w:spacing w:after="60" w:line="300" w:lineRule="auto"/>
        <w:jc w:val="both"/>
        <w:rPr>
          <w:rFonts w:ascii="Times New Roman" w:hAnsi="Times New Roman" w:cs="Times New Roman"/>
          <w:sz w:val="20"/>
          <w:szCs w:val="20"/>
        </w:rPr>
      </w:pPr>
      <w:r w:rsidRPr="00931C42">
        <w:rPr>
          <w:rFonts w:ascii="Times New Roman" w:hAnsi="Times New Roman" w:cs="Times New Roman"/>
          <w:sz w:val="20"/>
          <w:szCs w:val="20"/>
        </w:rPr>
        <w:t>Zdroj: Prepočet MH SR</w:t>
      </w:r>
    </w:p>
    <w:p w:rsidR="00931C42" w:rsidRPr="00931C42" w:rsidRDefault="00931C42" w:rsidP="00931C42">
      <w:pPr>
        <w:spacing w:after="0" w:line="240" w:lineRule="auto"/>
        <w:rPr>
          <w:rFonts w:ascii="Times New Roman" w:eastAsia="Times New Roman" w:hAnsi="Times New Roman" w:cs="Times New Roman"/>
          <w:b/>
          <w:bCs/>
          <w:sz w:val="18"/>
          <w:szCs w:val="18"/>
        </w:rPr>
      </w:pPr>
    </w:p>
    <w:p w:rsidR="00931C42" w:rsidRPr="00931C42" w:rsidRDefault="00931C42" w:rsidP="00804E7E">
      <w:pPr>
        <w:tabs>
          <w:tab w:val="left" w:pos="709"/>
        </w:tabs>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Najvyššie daňové zaťaženie z vybraných krajín Európy má Nemecko. Za ním nasleduje Rakúsko so sadzbou 25 %. Slovinsko má progresívnu daň z príjmov a to so sadzbami od 16 % do 41 %. Najnižšiu sadzbu dane z vybraných krajín 10 % má Bulharsko.</w:t>
      </w:r>
    </w:p>
    <w:p w:rsidR="00931C42" w:rsidRPr="00931C42" w:rsidRDefault="00931C42" w:rsidP="00931C42">
      <w:pPr>
        <w:spacing w:after="0" w:line="240" w:lineRule="auto"/>
        <w:rPr>
          <w:rFonts w:ascii="Times New Roman" w:eastAsia="Times New Roman" w:hAnsi="Times New Roman" w:cs="Times New Roman"/>
          <w:b/>
          <w:bCs/>
          <w:sz w:val="24"/>
          <w:szCs w:val="24"/>
        </w:rPr>
      </w:pPr>
    </w:p>
    <w:p w:rsidR="00931C42" w:rsidRPr="00931C42" w:rsidRDefault="00931C42" w:rsidP="000D52B8">
      <w:pPr>
        <w:spacing w:after="0" w:line="240" w:lineRule="auto"/>
        <w:rPr>
          <w:rFonts w:ascii="Times New Roman" w:eastAsia="Times New Roman" w:hAnsi="Times New Roman" w:cs="Times New Roman"/>
          <w:sz w:val="34"/>
          <w:szCs w:val="34"/>
          <w:lang w:eastAsia="sk-SK"/>
        </w:rPr>
      </w:pPr>
      <w:r w:rsidRPr="00931C42">
        <w:rPr>
          <w:rFonts w:ascii="Times New Roman" w:eastAsia="Times New Roman" w:hAnsi="Times New Roman" w:cs="Times New Roman"/>
          <w:b/>
          <w:bCs/>
          <w:sz w:val="24"/>
          <w:szCs w:val="24"/>
        </w:rPr>
        <w:t>Graf 2.4.2 Daň z príjmu právnických osôb vybraných krajín Európy</w:t>
      </w:r>
      <w:r w:rsidR="00D565B0">
        <w:rPr>
          <w:rFonts w:ascii="Times New Roman" w:eastAsia="Times New Roman" w:hAnsi="Times New Roman" w:cs="Times New Roman"/>
          <w:b/>
          <w:bCs/>
          <w:sz w:val="24"/>
          <w:szCs w:val="24"/>
        </w:rPr>
        <w:t xml:space="preserve"> v %</w:t>
      </w:r>
      <w:r w:rsidRPr="00931C42">
        <w:rPr>
          <w:rFonts w:ascii="Times New Roman" w:hAnsi="Times New Roman" w:cs="Times New Roman"/>
          <w:noProof/>
          <w:lang w:eastAsia="sk-SK"/>
        </w:rPr>
        <w:drawing>
          <wp:inline distT="0" distB="0" distL="0" distR="0" wp14:anchorId="0A014C0F" wp14:editId="6ECF98F6">
            <wp:extent cx="5900468" cy="2225615"/>
            <wp:effectExtent l="0" t="0" r="24130" b="22860"/>
            <wp:docPr id="2078" name="Graf 207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31C42" w:rsidRDefault="00931C42" w:rsidP="00931C42">
      <w:pPr>
        <w:spacing w:after="60" w:line="300" w:lineRule="auto"/>
        <w:jc w:val="both"/>
        <w:rPr>
          <w:rFonts w:ascii="Times New Roman" w:hAnsi="Times New Roman" w:cs="Times New Roman"/>
          <w:sz w:val="20"/>
          <w:szCs w:val="20"/>
        </w:rPr>
      </w:pPr>
      <w:r w:rsidRPr="00931C42">
        <w:rPr>
          <w:rFonts w:ascii="Times New Roman" w:hAnsi="Times New Roman" w:cs="Times New Roman"/>
          <w:sz w:val="20"/>
          <w:szCs w:val="20"/>
        </w:rPr>
        <w:t>Zdroj: Prepočet MH SR</w:t>
      </w:r>
    </w:p>
    <w:p w:rsidR="003044A1" w:rsidRPr="00931C42" w:rsidRDefault="003044A1" w:rsidP="00931C42">
      <w:pPr>
        <w:spacing w:after="60" w:line="300" w:lineRule="auto"/>
        <w:jc w:val="both"/>
        <w:rPr>
          <w:rFonts w:ascii="Times New Roman" w:hAnsi="Times New Roman" w:cs="Times New Roman"/>
          <w:sz w:val="20"/>
          <w:szCs w:val="20"/>
        </w:rPr>
      </w:pPr>
    </w:p>
    <w:p w:rsidR="00931C42" w:rsidRPr="00931C42" w:rsidRDefault="00931C42" w:rsidP="00931C42">
      <w:pPr>
        <w:numPr>
          <w:ilvl w:val="0"/>
          <w:numId w:val="31"/>
        </w:numPr>
        <w:spacing w:after="0" w:line="240" w:lineRule="auto"/>
        <w:ind w:left="284" w:hanging="295"/>
        <w:contextualSpacing/>
        <w:jc w:val="both"/>
        <w:rPr>
          <w:rFonts w:ascii="Times New Roman" w:hAnsi="Times New Roman" w:cs="Times New Roman"/>
          <w:b/>
          <w:sz w:val="28"/>
          <w:szCs w:val="24"/>
        </w:rPr>
      </w:pPr>
      <w:r w:rsidRPr="00931C42">
        <w:rPr>
          <w:rFonts w:ascii="Times New Roman" w:hAnsi="Times New Roman" w:cs="Times New Roman"/>
          <w:b/>
          <w:sz w:val="28"/>
          <w:szCs w:val="24"/>
        </w:rPr>
        <w:lastRenderedPageBreak/>
        <w:t>Štruktúra podnikateľského prostredia</w:t>
      </w:r>
    </w:p>
    <w:p w:rsidR="00931C42" w:rsidRPr="00931C42" w:rsidRDefault="00931C42" w:rsidP="00931C42">
      <w:pPr>
        <w:spacing w:after="0" w:line="240" w:lineRule="auto"/>
        <w:ind w:left="720"/>
        <w:contextualSpacing/>
        <w:jc w:val="both"/>
        <w:rPr>
          <w:rFonts w:ascii="Times New Roman" w:hAnsi="Times New Roman" w:cs="Times New Roman"/>
          <w:b/>
          <w:sz w:val="28"/>
          <w:szCs w:val="24"/>
        </w:rPr>
      </w:pPr>
    </w:p>
    <w:p w:rsidR="00803045" w:rsidRDefault="00803045" w:rsidP="006400DC">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Ku koncu roka 2015 bolo na Slovensku 531 729 podnikateľských subjektov evidovaných Štatistickým úradom SR. </w:t>
      </w:r>
      <w:r w:rsidR="006E5A38">
        <w:rPr>
          <w:rFonts w:ascii="Times New Roman" w:hAnsi="Times New Roman" w:cs="Times New Roman"/>
          <w:sz w:val="24"/>
          <w:szCs w:val="24"/>
        </w:rPr>
        <w:t xml:space="preserve">Väčšinu </w:t>
      </w:r>
      <w:r>
        <w:rPr>
          <w:rFonts w:ascii="Times New Roman" w:hAnsi="Times New Roman" w:cs="Times New Roman"/>
          <w:sz w:val="24"/>
          <w:szCs w:val="24"/>
        </w:rPr>
        <w:t xml:space="preserve">z nich </w:t>
      </w:r>
      <w:r w:rsidR="00970E2B">
        <w:rPr>
          <w:rFonts w:ascii="Times New Roman" w:hAnsi="Times New Roman" w:cs="Times New Roman"/>
          <w:sz w:val="24"/>
          <w:szCs w:val="24"/>
        </w:rPr>
        <w:t>tvoril</w:t>
      </w:r>
      <w:r>
        <w:rPr>
          <w:rFonts w:ascii="Times New Roman" w:hAnsi="Times New Roman" w:cs="Times New Roman"/>
          <w:sz w:val="24"/>
          <w:szCs w:val="24"/>
        </w:rPr>
        <w:t xml:space="preserve">i </w:t>
      </w:r>
      <w:proofErr w:type="spellStart"/>
      <w:r>
        <w:rPr>
          <w:rFonts w:ascii="Times New Roman" w:hAnsi="Times New Roman" w:cs="Times New Roman"/>
          <w:sz w:val="24"/>
          <w:szCs w:val="24"/>
        </w:rPr>
        <w:t>mikropodniky</w:t>
      </w:r>
      <w:proofErr w:type="spellEnd"/>
      <w:r>
        <w:rPr>
          <w:rFonts w:ascii="Times New Roman" w:hAnsi="Times New Roman" w:cs="Times New Roman"/>
          <w:sz w:val="24"/>
          <w:szCs w:val="24"/>
        </w:rPr>
        <w:t>, ktoré tvorili 96,9%. Malých podnikov bolo evidovaných 12 984, čo predstavuje podiel 2,4%, stredných podnikov bolo 2 843 (0,5%) a veľké podniky tvorili najmenšiu časť a to 0,1%. V skupine malých a stredných podnikov bolo evidovaných 531 063 subjektov.</w:t>
      </w:r>
    </w:p>
    <w:p w:rsidR="00803045" w:rsidRDefault="00803045" w:rsidP="00CA00DC">
      <w:pPr>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b/>
          <w:bCs/>
          <w:szCs w:val="24"/>
        </w:rPr>
        <w:t>Tab. č. 3.1: Počet aktívnych podnikateľských subjektov podľa jednotlivých právnych foriem a</w:t>
      </w:r>
      <w:r w:rsidR="00CA00DC">
        <w:rPr>
          <w:rFonts w:ascii="Times New Roman" w:hAnsi="Times New Roman" w:cs="Times New Roman"/>
          <w:b/>
          <w:bCs/>
          <w:szCs w:val="24"/>
        </w:rPr>
        <w:t> </w:t>
      </w:r>
      <w:r>
        <w:rPr>
          <w:rFonts w:ascii="Times New Roman" w:hAnsi="Times New Roman" w:cs="Times New Roman"/>
          <w:b/>
          <w:bCs/>
          <w:szCs w:val="24"/>
        </w:rPr>
        <w:t>veľkostných kategórií podnikov k 31. 12. 2015</w:t>
      </w:r>
    </w:p>
    <w:tbl>
      <w:tblPr>
        <w:tblW w:w="9214" w:type="dxa"/>
        <w:tblInd w:w="55" w:type="dxa"/>
        <w:tblCellMar>
          <w:left w:w="70" w:type="dxa"/>
          <w:right w:w="70" w:type="dxa"/>
        </w:tblCellMar>
        <w:tblLook w:val="04A0" w:firstRow="1" w:lastRow="0" w:firstColumn="1" w:lastColumn="0" w:noHBand="0" w:noVBand="1"/>
      </w:tblPr>
      <w:tblGrid>
        <w:gridCol w:w="2737"/>
        <w:gridCol w:w="1012"/>
        <w:gridCol w:w="1096"/>
        <w:gridCol w:w="1091"/>
        <w:gridCol w:w="1311"/>
        <w:gridCol w:w="984"/>
        <w:gridCol w:w="985"/>
      </w:tblGrid>
      <w:tr w:rsidR="00803045" w:rsidTr="00804E7E">
        <w:trPr>
          <w:trHeight w:val="300"/>
        </w:trPr>
        <w:tc>
          <w:tcPr>
            <w:tcW w:w="2737" w:type="dxa"/>
            <w:vMerge w:val="restart"/>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Veľkostné kategórie / právne formy</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Podniky</w:t>
            </w:r>
          </w:p>
        </w:tc>
        <w:tc>
          <w:tcPr>
            <w:tcW w:w="1094" w:type="dxa"/>
            <w:vMerge w:val="restart"/>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Živnostníci</w:t>
            </w:r>
          </w:p>
        </w:tc>
        <w:tc>
          <w:tcPr>
            <w:tcW w:w="1091" w:type="dxa"/>
            <w:vMerge w:val="restart"/>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Slobodné povolania</w:t>
            </w:r>
          </w:p>
        </w:tc>
        <w:tc>
          <w:tcPr>
            <w:tcW w:w="1311" w:type="dxa"/>
            <w:vMerge w:val="restart"/>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4E7E">
            <w:pPr>
              <w:spacing w:after="0" w:line="240" w:lineRule="auto"/>
              <w:jc w:val="center"/>
              <w:rPr>
                <w:rFonts w:ascii="Times New Roman" w:eastAsia="Times New Roman" w:hAnsi="Times New Roman" w:cs="Times New Roman"/>
                <w:b/>
                <w:color w:val="000000"/>
                <w:sz w:val="20"/>
                <w:szCs w:val="20"/>
                <w:lang w:eastAsia="sk-SK"/>
              </w:rPr>
            </w:pPr>
            <w:r>
              <w:rPr>
                <w:rFonts w:ascii="Times New Roman" w:eastAsia="Times New Roman" w:hAnsi="Times New Roman" w:cs="Times New Roman"/>
                <w:b/>
                <w:color w:val="000000"/>
                <w:sz w:val="20"/>
                <w:szCs w:val="20"/>
                <w:lang w:eastAsia="sk-SK"/>
              </w:rPr>
              <w:t>Samostatne hospodáriaci roľníci</w:t>
            </w:r>
          </w:p>
        </w:tc>
        <w:tc>
          <w:tcPr>
            <w:tcW w:w="1969" w:type="dxa"/>
            <w:gridSpan w:val="2"/>
            <w:tcBorders>
              <w:top w:val="single" w:sz="4" w:space="0" w:color="auto"/>
              <w:left w:val="nil"/>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Spolu</w:t>
            </w:r>
          </w:p>
        </w:tc>
      </w:tr>
      <w:tr w:rsidR="00803045" w:rsidTr="00804E7E">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rPr>
                <w:rFonts w:ascii="Times New Roman" w:eastAsia="Times New Roman" w:hAnsi="Times New Roman" w:cs="Times New Roman"/>
                <w:b/>
                <w:color w:val="000000"/>
                <w:sz w:val="20"/>
                <w:szCs w:val="20"/>
                <w:lang w:eastAsia="sk-SK"/>
              </w:rPr>
            </w:pPr>
          </w:p>
        </w:tc>
        <w:tc>
          <w:tcPr>
            <w:tcW w:w="0" w:type="auto"/>
            <w:vMerge/>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rPr>
                <w:rFonts w:ascii="Times New Roman" w:eastAsia="Times New Roman" w:hAnsi="Times New Roman" w:cs="Times New Roman"/>
                <w:b/>
                <w:color w:val="000000"/>
                <w:sz w:val="20"/>
                <w:szCs w:val="20"/>
                <w:lang w:eastAsia="sk-SK"/>
              </w:rPr>
            </w:pPr>
          </w:p>
        </w:tc>
        <w:tc>
          <w:tcPr>
            <w:tcW w:w="0" w:type="auto"/>
            <w:vMerge/>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rPr>
                <w:rFonts w:ascii="Times New Roman" w:eastAsia="Times New Roman" w:hAnsi="Times New Roman" w:cs="Times New Roman"/>
                <w:b/>
                <w:color w:val="000000"/>
                <w:sz w:val="20"/>
                <w:szCs w:val="20"/>
                <w:lang w:eastAsia="sk-SK"/>
              </w:rPr>
            </w:pPr>
          </w:p>
        </w:tc>
        <w:tc>
          <w:tcPr>
            <w:tcW w:w="0" w:type="auto"/>
            <w:vMerge/>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rPr>
                <w:rFonts w:ascii="Times New Roman" w:eastAsia="Times New Roman" w:hAnsi="Times New Roman" w:cs="Times New Roman"/>
                <w:b/>
                <w:color w:val="000000"/>
                <w:sz w:val="20"/>
                <w:szCs w:val="20"/>
                <w:lang w:eastAsia="sk-SK"/>
              </w:rPr>
            </w:pPr>
          </w:p>
        </w:tc>
        <w:tc>
          <w:tcPr>
            <w:tcW w:w="1311" w:type="dxa"/>
            <w:vMerge/>
            <w:tcBorders>
              <w:top w:val="single" w:sz="4" w:space="0" w:color="auto"/>
              <w:left w:val="single" w:sz="4" w:space="0" w:color="auto"/>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rPr>
                <w:rFonts w:ascii="Times New Roman" w:eastAsia="Times New Roman" w:hAnsi="Times New Roman" w:cs="Times New Roman"/>
                <w:b/>
                <w:color w:val="000000"/>
                <w:sz w:val="20"/>
                <w:szCs w:val="20"/>
                <w:lang w:eastAsia="sk-SK"/>
              </w:rPr>
            </w:pPr>
          </w:p>
        </w:tc>
        <w:tc>
          <w:tcPr>
            <w:tcW w:w="984" w:type="dxa"/>
            <w:tcBorders>
              <w:top w:val="nil"/>
              <w:left w:val="nil"/>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proofErr w:type="spellStart"/>
            <w:r w:rsidRPr="00804E7E">
              <w:rPr>
                <w:rFonts w:ascii="Times New Roman" w:eastAsia="Times New Roman" w:hAnsi="Times New Roman" w:cs="Times New Roman"/>
                <w:b/>
                <w:color w:val="000000"/>
                <w:sz w:val="20"/>
                <w:szCs w:val="20"/>
                <w:lang w:eastAsia="sk-SK"/>
              </w:rPr>
              <w:t>abs</w:t>
            </w:r>
            <w:proofErr w:type="spellEnd"/>
            <w:r w:rsidRPr="00804E7E">
              <w:rPr>
                <w:rFonts w:ascii="Times New Roman" w:eastAsia="Times New Roman" w:hAnsi="Times New Roman" w:cs="Times New Roman"/>
                <w:b/>
                <w:color w:val="000000"/>
                <w:sz w:val="20"/>
                <w:szCs w:val="20"/>
                <w:lang w:eastAsia="sk-SK"/>
              </w:rPr>
              <w:t>.</w:t>
            </w:r>
          </w:p>
        </w:tc>
        <w:tc>
          <w:tcPr>
            <w:tcW w:w="985" w:type="dxa"/>
            <w:tcBorders>
              <w:top w:val="nil"/>
              <w:left w:val="nil"/>
              <w:bottom w:val="single" w:sz="4" w:space="0" w:color="auto"/>
              <w:right w:val="single" w:sz="4" w:space="0" w:color="auto"/>
            </w:tcBorders>
            <w:shd w:val="clear" w:color="auto" w:fill="9BBB59" w:themeFill="accent3"/>
            <w:vAlign w:val="center"/>
            <w:hideMark/>
          </w:tcPr>
          <w:p w:rsidR="00803045" w:rsidRPr="00804E7E" w:rsidRDefault="00803045">
            <w:pPr>
              <w:spacing w:after="0" w:line="240" w:lineRule="auto"/>
              <w:jc w:val="center"/>
              <w:rPr>
                <w:rFonts w:ascii="Times New Roman" w:eastAsia="Times New Roman" w:hAnsi="Times New Roman" w:cs="Times New Roman"/>
                <w:b/>
                <w:color w:val="000000"/>
                <w:sz w:val="20"/>
                <w:szCs w:val="20"/>
                <w:lang w:eastAsia="sk-SK"/>
              </w:rPr>
            </w:pPr>
            <w:r w:rsidRPr="00804E7E">
              <w:rPr>
                <w:rFonts w:ascii="Times New Roman" w:eastAsia="Times New Roman" w:hAnsi="Times New Roman" w:cs="Times New Roman"/>
                <w:b/>
                <w:color w:val="000000"/>
                <w:sz w:val="20"/>
                <w:szCs w:val="20"/>
                <w:lang w:eastAsia="sk-SK"/>
              </w:rPr>
              <w:t>v %</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proofErr w:type="spellStart"/>
            <w:r>
              <w:rPr>
                <w:rFonts w:ascii="Times New Roman" w:eastAsia="Times New Roman" w:hAnsi="Times New Roman" w:cs="Times New Roman"/>
                <w:color w:val="000000"/>
                <w:sz w:val="20"/>
                <w:szCs w:val="20"/>
                <w:lang w:eastAsia="sk-SK"/>
              </w:rPr>
              <w:t>Mikropodniky</w:t>
            </w:r>
            <w:proofErr w:type="spellEnd"/>
            <w:r>
              <w:rPr>
                <w:rFonts w:ascii="Times New Roman" w:eastAsia="Times New Roman" w:hAnsi="Times New Roman" w:cs="Times New Roman"/>
                <w:color w:val="000000"/>
                <w:sz w:val="20"/>
                <w:szCs w:val="20"/>
                <w:lang w:eastAsia="sk-SK"/>
              </w:rPr>
              <w:t xml:space="preserve"> (0 – 9) </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178095</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315182</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17657</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4302</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515236</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96,90</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 xml:space="preserve">Malé podniky (10 – 49) </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11721</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1215</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39</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9</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12984</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2,40</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 xml:space="preserve">Stredné podniky (50 – 249) </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2780</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63</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2843</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0,50</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 xml:space="preserve">Veľké podniky (250 a viac) </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666</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666</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0,10</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 xml:space="preserve">Spolu MSP (0 – 249) </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192596</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316460</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17696</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4311</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531063</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99,90</w:t>
            </w:r>
          </w:p>
        </w:tc>
      </w:tr>
      <w:tr w:rsidR="00803045" w:rsidTr="00804E7E">
        <w:trPr>
          <w:trHeight w:val="300"/>
        </w:trPr>
        <w:tc>
          <w:tcPr>
            <w:tcW w:w="2737" w:type="dxa"/>
            <w:tcBorders>
              <w:top w:val="nil"/>
              <w:left w:val="single" w:sz="4" w:space="0" w:color="auto"/>
              <w:bottom w:val="single" w:sz="4" w:space="0" w:color="auto"/>
              <w:right w:val="single" w:sz="4" w:space="0" w:color="auto"/>
            </w:tcBorders>
            <w:noWrap/>
            <w:vAlign w:val="bottom"/>
            <w:hideMark/>
          </w:tcPr>
          <w:p w:rsidR="00803045" w:rsidRDefault="00803045">
            <w:pPr>
              <w:spacing w:after="0" w:line="240" w:lineRule="auto"/>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Spolu podnikateľské subjekty</w:t>
            </w:r>
          </w:p>
        </w:tc>
        <w:tc>
          <w:tcPr>
            <w:tcW w:w="1012"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193262</w:t>
            </w:r>
          </w:p>
        </w:tc>
        <w:tc>
          <w:tcPr>
            <w:tcW w:w="109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316460</w:t>
            </w:r>
          </w:p>
        </w:tc>
        <w:tc>
          <w:tcPr>
            <w:tcW w:w="109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17696</w:t>
            </w:r>
          </w:p>
        </w:tc>
        <w:tc>
          <w:tcPr>
            <w:tcW w:w="1311"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4311</w:t>
            </w:r>
          </w:p>
        </w:tc>
        <w:tc>
          <w:tcPr>
            <w:tcW w:w="984"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531729</w:t>
            </w:r>
          </w:p>
        </w:tc>
        <w:tc>
          <w:tcPr>
            <w:tcW w:w="985" w:type="dxa"/>
            <w:tcBorders>
              <w:top w:val="nil"/>
              <w:left w:val="nil"/>
              <w:bottom w:val="single" w:sz="4" w:space="0" w:color="auto"/>
              <w:right w:val="single" w:sz="4" w:space="0" w:color="auto"/>
            </w:tcBorders>
            <w:noWrap/>
            <w:vAlign w:val="bottom"/>
            <w:hideMark/>
          </w:tcPr>
          <w:p w:rsidR="00803045" w:rsidRDefault="00803045">
            <w:pPr>
              <w:spacing w:after="0" w:line="240" w:lineRule="auto"/>
              <w:jc w:val="right"/>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100,00</w:t>
            </w:r>
          </w:p>
        </w:tc>
      </w:tr>
    </w:tbl>
    <w:p w:rsidR="00803045" w:rsidRDefault="00803045" w:rsidP="00803045">
      <w:pPr>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Zdroj: Malé a stredné podnikanie v číslach v roku 2015 (SBA) na základe údajov od ŠÚ SR. V údajoch ŠÚ SR nie sú započítané všetky vzniknuté a zaniknuté subjekty za druhý polrok 2015.</w:t>
      </w:r>
    </w:p>
    <w:p w:rsidR="00803045"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931C42" w:rsidRPr="00931C42" w:rsidRDefault="00803045" w:rsidP="00EF0A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 poklese počtu podnikov v priebehu roka 2015 počet podnikov počas roka 2016 výrazne vzrástol. Mesačný vývoj počtu podnikov v roku 2016 je uvedený v tabuľke 3.2.</w:t>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b/>
        </w:rPr>
      </w:pPr>
      <w:r w:rsidRPr="00931C42">
        <w:rPr>
          <w:rFonts w:ascii="Times New Roman" w:hAnsi="Times New Roman" w:cs="Times New Roman"/>
          <w:b/>
        </w:rPr>
        <w:t>Tab.3.</w:t>
      </w:r>
      <w:r w:rsidR="00803045">
        <w:rPr>
          <w:rFonts w:ascii="Times New Roman" w:hAnsi="Times New Roman" w:cs="Times New Roman"/>
          <w:b/>
        </w:rPr>
        <w:t>2</w:t>
      </w:r>
      <w:r w:rsidRPr="00931C42">
        <w:rPr>
          <w:rFonts w:ascii="Times New Roman" w:hAnsi="Times New Roman" w:cs="Times New Roman"/>
          <w:b/>
        </w:rPr>
        <w:t>: Ekonomické subjekty v roku 2016 po mesiacoch</w:t>
      </w:r>
    </w:p>
    <w:tbl>
      <w:tblPr>
        <w:tblW w:w="93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5"/>
        <w:gridCol w:w="850"/>
        <w:gridCol w:w="840"/>
        <w:gridCol w:w="840"/>
        <w:gridCol w:w="840"/>
        <w:gridCol w:w="840"/>
        <w:gridCol w:w="840"/>
        <w:gridCol w:w="840"/>
        <w:gridCol w:w="840"/>
        <w:gridCol w:w="1029"/>
      </w:tblGrid>
      <w:tr w:rsidR="00931C42" w:rsidRPr="00931C42" w:rsidTr="00804E7E">
        <w:trPr>
          <w:trHeight w:val="300"/>
        </w:trPr>
        <w:tc>
          <w:tcPr>
            <w:tcW w:w="1575"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 </w:t>
            </w:r>
          </w:p>
        </w:tc>
        <w:tc>
          <w:tcPr>
            <w:tcW w:w="85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január</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február</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marec</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apríl</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máj</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jún</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júl</w:t>
            </w:r>
          </w:p>
        </w:tc>
        <w:tc>
          <w:tcPr>
            <w:tcW w:w="840"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august</w:t>
            </w:r>
          </w:p>
        </w:tc>
        <w:tc>
          <w:tcPr>
            <w:tcW w:w="1029" w:type="dxa"/>
            <w:shd w:val="clear" w:color="auto" w:fill="9BBB59" w:themeFill="accent3"/>
            <w:vAlign w:val="center"/>
            <w:hideMark/>
          </w:tcPr>
          <w:p w:rsidR="00931C42" w:rsidRPr="00931C42" w:rsidRDefault="00931C42" w:rsidP="00931C42">
            <w:pPr>
              <w:spacing w:after="0" w:line="240" w:lineRule="auto"/>
              <w:jc w:val="center"/>
              <w:rPr>
                <w:rFonts w:ascii="Times New Roman" w:eastAsia="Times New Roman" w:hAnsi="Times New Roman" w:cs="Times New Roman"/>
                <w:b/>
                <w:sz w:val="20"/>
                <w:szCs w:val="20"/>
                <w:lang w:eastAsia="sk-SK"/>
              </w:rPr>
            </w:pPr>
            <w:r w:rsidRPr="00931C42">
              <w:rPr>
                <w:rFonts w:ascii="Times New Roman" w:eastAsia="Times New Roman" w:hAnsi="Times New Roman" w:cs="Times New Roman"/>
                <w:b/>
                <w:sz w:val="20"/>
                <w:szCs w:val="20"/>
                <w:lang w:eastAsia="sk-SK"/>
              </w:rPr>
              <w:t>september</w:t>
            </w:r>
          </w:p>
        </w:tc>
      </w:tr>
      <w:tr w:rsidR="00931C42" w:rsidRPr="00931C42" w:rsidTr="00804E7E">
        <w:trPr>
          <w:trHeight w:val="300"/>
        </w:trPr>
        <w:tc>
          <w:tcPr>
            <w:tcW w:w="1575" w:type="dxa"/>
            <w:shd w:val="clear" w:color="auto" w:fill="auto"/>
            <w:vAlign w:val="center"/>
            <w:hideMark/>
          </w:tcPr>
          <w:p w:rsidR="00931C42" w:rsidRPr="00931C42" w:rsidRDefault="00931C42" w:rsidP="00931C42">
            <w:pPr>
              <w:spacing w:after="0" w:line="240" w:lineRule="auto"/>
              <w:ind w:firstLineChars="100" w:firstLine="201"/>
              <w:jc w:val="both"/>
              <w:rPr>
                <w:rFonts w:ascii="Times New Roman" w:eastAsia="Times New Roman" w:hAnsi="Times New Roman" w:cs="Times New Roman"/>
                <w:sz w:val="20"/>
                <w:szCs w:val="20"/>
                <w:lang w:eastAsia="sk-SK"/>
              </w:rPr>
            </w:pPr>
            <w:r w:rsidRPr="00931C42">
              <w:rPr>
                <w:rFonts w:ascii="Times New Roman" w:eastAsia="Times New Roman" w:hAnsi="Times New Roman" w:cs="Times New Roman"/>
                <w:b/>
                <w:bCs/>
                <w:sz w:val="20"/>
                <w:szCs w:val="20"/>
                <w:lang w:eastAsia="sk-SK"/>
              </w:rPr>
              <w:t>Podniky</w:t>
            </w:r>
          </w:p>
        </w:tc>
        <w:tc>
          <w:tcPr>
            <w:tcW w:w="85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194 845</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196 326</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197 922</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200 281</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206 116</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207 563</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208 188</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209 198</w:t>
            </w:r>
          </w:p>
        </w:tc>
        <w:tc>
          <w:tcPr>
            <w:tcW w:w="1029"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209 316</w:t>
            </w:r>
          </w:p>
        </w:tc>
      </w:tr>
      <w:tr w:rsidR="00931C42" w:rsidRPr="00931C42" w:rsidTr="00804E7E">
        <w:trPr>
          <w:trHeight w:val="300"/>
        </w:trPr>
        <w:tc>
          <w:tcPr>
            <w:tcW w:w="1575" w:type="dxa"/>
            <w:shd w:val="clear" w:color="auto" w:fill="auto"/>
            <w:vAlign w:val="center"/>
            <w:hideMark/>
          </w:tcPr>
          <w:p w:rsidR="00931C42" w:rsidRPr="00931C42" w:rsidRDefault="00931C42" w:rsidP="00931C42">
            <w:pPr>
              <w:spacing w:after="0" w:line="240" w:lineRule="auto"/>
              <w:ind w:left="229"/>
              <w:jc w:val="both"/>
              <w:rPr>
                <w:rFonts w:ascii="Times New Roman" w:eastAsia="Times New Roman" w:hAnsi="Times New Roman" w:cs="Times New Roman"/>
                <w:sz w:val="20"/>
                <w:szCs w:val="20"/>
                <w:lang w:eastAsia="sk-SK"/>
              </w:rPr>
            </w:pPr>
            <w:r w:rsidRPr="00931C42">
              <w:rPr>
                <w:rFonts w:ascii="Times New Roman" w:eastAsia="Times New Roman" w:hAnsi="Times New Roman" w:cs="Times New Roman"/>
                <w:b/>
                <w:bCs/>
                <w:sz w:val="20"/>
                <w:szCs w:val="20"/>
                <w:lang w:eastAsia="sk-SK"/>
              </w:rPr>
              <w:t>Fyzické osoby - podnikatelia</w:t>
            </w:r>
          </w:p>
        </w:tc>
        <w:tc>
          <w:tcPr>
            <w:tcW w:w="85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339 200</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341 592</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344 786</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349 646</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354 830</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361 195</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364 228</w:t>
            </w:r>
          </w:p>
        </w:tc>
        <w:tc>
          <w:tcPr>
            <w:tcW w:w="840"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366 544</w:t>
            </w:r>
          </w:p>
        </w:tc>
        <w:tc>
          <w:tcPr>
            <w:tcW w:w="1029" w:type="dxa"/>
            <w:shd w:val="clear" w:color="auto" w:fill="auto"/>
            <w:noWrap/>
            <w:vAlign w:val="center"/>
            <w:hideMark/>
          </w:tcPr>
          <w:p w:rsidR="00931C42" w:rsidRPr="00931C42" w:rsidRDefault="00931C42" w:rsidP="00931C42">
            <w:pPr>
              <w:spacing w:after="0" w:line="240" w:lineRule="auto"/>
              <w:jc w:val="right"/>
              <w:rPr>
                <w:rFonts w:ascii="Times New Roman" w:eastAsia="Times New Roman" w:hAnsi="Times New Roman" w:cs="Times New Roman"/>
                <w:sz w:val="20"/>
                <w:szCs w:val="20"/>
                <w:lang w:eastAsia="sk-SK"/>
              </w:rPr>
            </w:pPr>
            <w:r w:rsidRPr="00931C42">
              <w:rPr>
                <w:rFonts w:ascii="Times New Roman" w:eastAsia="Times New Roman" w:hAnsi="Times New Roman" w:cs="Times New Roman"/>
                <w:sz w:val="20"/>
                <w:szCs w:val="20"/>
                <w:lang w:eastAsia="sk-SK"/>
              </w:rPr>
              <w:t>370 118</w:t>
            </w:r>
          </w:p>
        </w:tc>
      </w:tr>
      <w:tr w:rsidR="00931C42" w:rsidRPr="00931C42" w:rsidTr="00804E7E">
        <w:trPr>
          <w:trHeight w:val="300"/>
        </w:trPr>
        <w:tc>
          <w:tcPr>
            <w:tcW w:w="1575" w:type="dxa"/>
            <w:shd w:val="clear" w:color="auto" w:fill="auto"/>
            <w:vAlign w:val="center"/>
            <w:hideMark/>
          </w:tcPr>
          <w:p w:rsidR="00931C42" w:rsidRPr="00931C42" w:rsidRDefault="00931C42" w:rsidP="00931C42">
            <w:pPr>
              <w:spacing w:after="0" w:line="240" w:lineRule="auto"/>
              <w:ind w:left="229"/>
              <w:jc w:val="both"/>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SPOLU</w:t>
            </w:r>
          </w:p>
        </w:tc>
        <w:tc>
          <w:tcPr>
            <w:tcW w:w="85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534 045</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537 918</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542 708</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549 927</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560 946</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568 758</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572 416</w:t>
            </w:r>
          </w:p>
        </w:tc>
        <w:tc>
          <w:tcPr>
            <w:tcW w:w="840"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575 742</w:t>
            </w:r>
          </w:p>
        </w:tc>
        <w:tc>
          <w:tcPr>
            <w:tcW w:w="1029" w:type="dxa"/>
            <w:shd w:val="clear" w:color="auto" w:fill="auto"/>
            <w:noWrap/>
            <w:vAlign w:val="bottom"/>
            <w:hideMark/>
          </w:tcPr>
          <w:p w:rsidR="00931C42" w:rsidRPr="00931C42" w:rsidRDefault="00931C42" w:rsidP="00931C42">
            <w:pPr>
              <w:spacing w:after="0" w:line="240" w:lineRule="auto"/>
              <w:jc w:val="right"/>
              <w:rPr>
                <w:rFonts w:ascii="Times New Roman" w:eastAsia="Times New Roman" w:hAnsi="Times New Roman" w:cs="Times New Roman"/>
                <w:b/>
                <w:bCs/>
                <w:sz w:val="20"/>
                <w:szCs w:val="20"/>
                <w:lang w:eastAsia="sk-SK"/>
              </w:rPr>
            </w:pPr>
            <w:r w:rsidRPr="00931C42">
              <w:rPr>
                <w:rFonts w:ascii="Times New Roman" w:eastAsia="Times New Roman" w:hAnsi="Times New Roman" w:cs="Times New Roman"/>
                <w:b/>
                <w:bCs/>
                <w:sz w:val="20"/>
                <w:szCs w:val="20"/>
                <w:lang w:eastAsia="sk-SK"/>
              </w:rPr>
              <w:t>579 434</w:t>
            </w:r>
          </w:p>
        </w:tc>
      </w:tr>
    </w:tbl>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Štatistický úrad SR dostupné na </w:t>
      </w:r>
      <w:hyperlink r:id="rId29" w:history="1">
        <w:r w:rsidRPr="00931C42">
          <w:rPr>
            <w:rFonts w:ascii="Times New Roman" w:hAnsi="Times New Roman" w:cs="Times New Roman"/>
            <w:sz w:val="20"/>
            <w:szCs w:val="20"/>
            <w:u w:val="single"/>
          </w:rPr>
          <w:t>http://www.statistics.sk/pls/elisw/vbd</w:t>
        </w:r>
      </w:hyperlink>
      <w:r w:rsidRPr="00931C42">
        <w:rPr>
          <w:rFonts w:ascii="Times New Roman" w:hAnsi="Times New Roman" w:cs="Times New Roman"/>
          <w:sz w:val="20"/>
          <w:szCs w:val="20"/>
        </w:rPr>
        <w:t>, spracované MH SR.</w:t>
      </w:r>
    </w:p>
    <w:p w:rsidR="00931C42" w:rsidRDefault="00931C42" w:rsidP="00931C42">
      <w:pPr>
        <w:spacing w:after="0" w:line="240" w:lineRule="auto"/>
        <w:jc w:val="both"/>
        <w:rPr>
          <w:rFonts w:ascii="Times New Roman" w:hAnsi="Times New Roman" w:cs="Times New Roman"/>
          <w:sz w:val="24"/>
          <w:szCs w:val="24"/>
        </w:rPr>
      </w:pPr>
    </w:p>
    <w:p w:rsidR="00EF0A03" w:rsidRPr="00931C42" w:rsidRDefault="00EF0A03" w:rsidP="00931C42">
      <w:pPr>
        <w:spacing w:after="0" w:line="240" w:lineRule="auto"/>
        <w:jc w:val="both"/>
        <w:rPr>
          <w:rFonts w:ascii="Times New Roman" w:hAnsi="Times New Roman" w:cs="Times New Roman"/>
          <w:sz w:val="24"/>
          <w:szCs w:val="24"/>
        </w:rPr>
      </w:pPr>
    </w:p>
    <w:p w:rsidR="00931C42" w:rsidRPr="00931C42" w:rsidRDefault="00931C42" w:rsidP="008F6FBD">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4.</w:t>
      </w:r>
      <w:r w:rsidRPr="00931C42">
        <w:rPr>
          <w:rFonts w:ascii="Times New Roman" w:hAnsi="Times New Roman" w:cs="Times New Roman"/>
          <w:b/>
          <w:sz w:val="24"/>
          <w:szCs w:val="24"/>
        </w:rPr>
        <w:tab/>
      </w:r>
      <w:r w:rsidRPr="00931C42">
        <w:rPr>
          <w:rFonts w:ascii="Times New Roman" w:hAnsi="Times New Roman" w:cs="Times New Roman"/>
          <w:b/>
          <w:sz w:val="28"/>
          <w:szCs w:val="28"/>
        </w:rPr>
        <w:t>Komparatívne hodnotenie podnikateľského prostredia v SR</w:t>
      </w:r>
    </w:p>
    <w:p w:rsidR="00931C42" w:rsidRPr="00931C42" w:rsidRDefault="00931C42"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4.1 Hodnotenie Svetovej banky „</w:t>
      </w:r>
      <w:proofErr w:type="spellStart"/>
      <w:r w:rsidRPr="00931C42">
        <w:rPr>
          <w:rFonts w:ascii="Times New Roman" w:hAnsi="Times New Roman" w:cs="Times New Roman"/>
          <w:b/>
          <w:sz w:val="24"/>
          <w:szCs w:val="24"/>
        </w:rPr>
        <w:t>Doing</w:t>
      </w:r>
      <w:proofErr w:type="spellEnd"/>
      <w:r w:rsidRPr="00931C42">
        <w:rPr>
          <w:rFonts w:ascii="Times New Roman" w:hAnsi="Times New Roman" w:cs="Times New Roman"/>
          <w:b/>
          <w:sz w:val="24"/>
          <w:szCs w:val="24"/>
        </w:rPr>
        <w:t xml:space="preserve"> </w:t>
      </w:r>
      <w:proofErr w:type="spellStart"/>
      <w:r w:rsidRPr="00931C42">
        <w:rPr>
          <w:rFonts w:ascii="Times New Roman" w:hAnsi="Times New Roman" w:cs="Times New Roman"/>
          <w:b/>
          <w:sz w:val="24"/>
          <w:szCs w:val="24"/>
        </w:rPr>
        <w:t>Business</w:t>
      </w:r>
      <w:proofErr w:type="spellEnd"/>
      <w:r w:rsidRPr="00931C42">
        <w:rPr>
          <w:rFonts w:ascii="Times New Roman" w:hAnsi="Times New Roman" w:cs="Times New Roman"/>
          <w:b/>
          <w:sz w:val="24"/>
          <w:szCs w:val="24"/>
        </w:rPr>
        <w:t>“</w:t>
      </w:r>
    </w:p>
    <w:p w:rsidR="00931C42" w:rsidRPr="00931C42" w:rsidRDefault="00931C42" w:rsidP="00931C42">
      <w:pPr>
        <w:spacing w:after="0" w:line="240" w:lineRule="auto"/>
        <w:jc w:val="both"/>
        <w:rPr>
          <w:rFonts w:ascii="Times New Roman" w:hAnsi="Times New Roman" w:cs="Times New Roman"/>
          <w:sz w:val="24"/>
          <w:szCs w:val="24"/>
        </w:rPr>
      </w:pPr>
    </w:p>
    <w:p w:rsid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Rebríček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ktorý každoročne vydáva Svetová banka</w:t>
      </w:r>
      <w:r w:rsidR="00563DF8">
        <w:rPr>
          <w:rFonts w:ascii="Times New Roman" w:hAnsi="Times New Roman" w:cs="Times New Roman"/>
          <w:sz w:val="24"/>
          <w:szCs w:val="24"/>
        </w:rPr>
        <w:t>,</w:t>
      </w:r>
      <w:r w:rsidRPr="00931C42">
        <w:rPr>
          <w:rFonts w:ascii="Times New Roman" w:hAnsi="Times New Roman" w:cs="Times New Roman"/>
          <w:sz w:val="24"/>
          <w:szCs w:val="24"/>
        </w:rPr>
        <w:t xml:space="preserve"> skúma regulačné prostredie ovplyvňujúce podnikanie v 189 krajinách. Konečné hodnotenie je vypracované na základe čiastkových hodnotení v 10 indikátoroch, ktoré sú spolu s umiestnením SR v rebríčku v rokoch 2012 – 2016 vymenované v tabuľke 4.1.1.</w:t>
      </w: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Default="00EF0A03" w:rsidP="00931C42">
      <w:pPr>
        <w:spacing w:after="0" w:line="240" w:lineRule="auto"/>
        <w:jc w:val="both"/>
        <w:rPr>
          <w:rFonts w:ascii="Times New Roman" w:hAnsi="Times New Roman" w:cs="Times New Roman"/>
          <w:sz w:val="24"/>
          <w:szCs w:val="24"/>
        </w:rPr>
      </w:pPr>
    </w:p>
    <w:p w:rsidR="00EF0A03" w:rsidRPr="00931C42" w:rsidRDefault="00EF0A03"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tabs>
          <w:tab w:val="left" w:pos="567"/>
        </w:tabs>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lastRenderedPageBreak/>
        <w:t xml:space="preserve">Tabuľka 4.1.1 Umiestnenie SR v hodnotení jednotlivých indikátorov a v celkovom hodnotení </w:t>
      </w:r>
      <w:proofErr w:type="spellStart"/>
      <w:r w:rsidRPr="00931C42">
        <w:rPr>
          <w:rFonts w:ascii="Times New Roman" w:hAnsi="Times New Roman" w:cs="Times New Roman"/>
          <w:b/>
          <w:sz w:val="24"/>
          <w:szCs w:val="24"/>
        </w:rPr>
        <w:t>Doing</w:t>
      </w:r>
      <w:proofErr w:type="spellEnd"/>
      <w:r w:rsidRPr="00931C42">
        <w:rPr>
          <w:rFonts w:ascii="Times New Roman" w:hAnsi="Times New Roman" w:cs="Times New Roman"/>
          <w:b/>
          <w:sz w:val="24"/>
          <w:szCs w:val="24"/>
        </w:rPr>
        <w:t xml:space="preserve"> </w:t>
      </w:r>
      <w:proofErr w:type="spellStart"/>
      <w:r w:rsidRPr="00931C42">
        <w:rPr>
          <w:rFonts w:ascii="Times New Roman" w:hAnsi="Times New Roman" w:cs="Times New Roman"/>
          <w:b/>
          <w:sz w:val="24"/>
          <w:szCs w:val="24"/>
        </w:rPr>
        <w:t>Business</w:t>
      </w:r>
      <w:proofErr w:type="spellEnd"/>
      <w:r w:rsidRPr="00931C42">
        <w:rPr>
          <w:rFonts w:ascii="Times New Roman" w:hAnsi="Times New Roman" w:cs="Times New Roman"/>
          <w:b/>
          <w:sz w:val="24"/>
          <w:szCs w:val="24"/>
        </w:rPr>
        <w:t xml:space="preserve"> v rokoch 2013 - 2017</w:t>
      </w:r>
    </w:p>
    <w:tbl>
      <w:tblPr>
        <w:tblStyle w:val="Mriekatabuky"/>
        <w:tblW w:w="5000" w:type="pct"/>
        <w:tblLook w:val="04A0" w:firstRow="1" w:lastRow="0" w:firstColumn="1" w:lastColumn="0" w:noHBand="0" w:noVBand="1"/>
      </w:tblPr>
      <w:tblGrid>
        <w:gridCol w:w="2857"/>
        <w:gridCol w:w="1100"/>
        <w:gridCol w:w="1154"/>
        <w:gridCol w:w="1154"/>
        <w:gridCol w:w="1154"/>
        <w:gridCol w:w="1156"/>
        <w:gridCol w:w="997"/>
      </w:tblGrid>
      <w:tr w:rsidR="00931C42" w:rsidRPr="00931C42" w:rsidTr="006400DC">
        <w:trPr>
          <w:tblHeader/>
        </w:trPr>
        <w:tc>
          <w:tcPr>
            <w:tcW w:w="1492" w:type="pct"/>
            <w:vMerge w:val="restar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Indikátor</w:t>
            </w:r>
          </w:p>
        </w:tc>
        <w:tc>
          <w:tcPr>
            <w:tcW w:w="3508" w:type="pct"/>
            <w:gridSpan w:val="6"/>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Rok hodnotenia</w:t>
            </w:r>
          </w:p>
        </w:tc>
      </w:tr>
      <w:tr w:rsidR="00931C42" w:rsidRPr="00931C42" w:rsidTr="006400DC">
        <w:trPr>
          <w:tblHeader/>
        </w:trPr>
        <w:tc>
          <w:tcPr>
            <w:tcW w:w="1492" w:type="pct"/>
            <w:vMerge/>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p>
        </w:tc>
        <w:tc>
          <w:tcPr>
            <w:tcW w:w="574"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2017</w:t>
            </w:r>
          </w:p>
        </w:tc>
        <w:tc>
          <w:tcPr>
            <w:tcW w:w="603"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Zmena</w:t>
            </w:r>
          </w:p>
        </w:tc>
        <w:tc>
          <w:tcPr>
            <w:tcW w:w="603"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2016</w:t>
            </w:r>
          </w:p>
        </w:tc>
        <w:tc>
          <w:tcPr>
            <w:tcW w:w="603"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2015</w:t>
            </w:r>
          </w:p>
        </w:tc>
        <w:tc>
          <w:tcPr>
            <w:tcW w:w="604"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2014</w:t>
            </w:r>
          </w:p>
        </w:tc>
        <w:tc>
          <w:tcPr>
            <w:tcW w:w="522" w:type="pct"/>
            <w:shd w:val="clear" w:color="auto" w:fill="9BBB59" w:themeFill="accent3"/>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2013</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Začatie podnikania</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68</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- 4</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64</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71</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108</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83</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Získavanie stavebných povolení</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103</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78</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53</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46</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Prístup k elektrickej energii</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53</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47</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46</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65</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100</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Registrácia majetku</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7</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11</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Získanie úveru</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44</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36</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42</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23</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Ochrana minoritných investorov</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87</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85</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87</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115</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117</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Daňové povinnosti firiem</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56</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58</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109</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102</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100</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Cezhraničné obchodovanie</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63</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65</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69</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Vymáhateľnosť zmlúv</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82</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81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108</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98</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Riešenie platobnej neschopnosti</w:t>
            </w:r>
          </w:p>
        </w:tc>
        <w:tc>
          <w:tcPr>
            <w:tcW w:w="57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35</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-1</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34</w:t>
            </w:r>
          </w:p>
        </w:tc>
        <w:tc>
          <w:tcPr>
            <w:tcW w:w="603"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33</w:t>
            </w:r>
          </w:p>
        </w:tc>
        <w:tc>
          <w:tcPr>
            <w:tcW w:w="604"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38</w:t>
            </w:r>
          </w:p>
        </w:tc>
        <w:tc>
          <w:tcPr>
            <w:tcW w:w="522" w:type="pct"/>
            <w:vAlign w:val="center"/>
          </w:tcPr>
          <w:p w:rsidR="00931C42" w:rsidRPr="00931C42" w:rsidRDefault="00931C42" w:rsidP="00931C42">
            <w:pPr>
              <w:jc w:val="center"/>
              <w:rPr>
                <w:rFonts w:ascii="Times New Roman" w:hAnsi="Times New Roman" w:cs="Times New Roman"/>
                <w:sz w:val="24"/>
                <w:szCs w:val="24"/>
              </w:rPr>
            </w:pPr>
            <w:r w:rsidRPr="00931C42">
              <w:rPr>
                <w:rFonts w:ascii="Times New Roman" w:hAnsi="Times New Roman" w:cs="Times New Roman"/>
                <w:sz w:val="24"/>
                <w:szCs w:val="24"/>
              </w:rPr>
              <w:t>38</w:t>
            </w:r>
          </w:p>
        </w:tc>
      </w:tr>
      <w:tr w:rsidR="00931C42" w:rsidRPr="00931C42" w:rsidTr="006400DC">
        <w:trPr>
          <w:tblHeader/>
        </w:trPr>
        <w:tc>
          <w:tcPr>
            <w:tcW w:w="1492"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Celkové umiestnenie SR</w:t>
            </w:r>
          </w:p>
        </w:tc>
        <w:tc>
          <w:tcPr>
            <w:tcW w:w="574"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33</w:t>
            </w:r>
          </w:p>
        </w:tc>
        <w:tc>
          <w:tcPr>
            <w:tcW w:w="603"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-3</w:t>
            </w:r>
          </w:p>
        </w:tc>
        <w:tc>
          <w:tcPr>
            <w:tcW w:w="603"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30</w:t>
            </w:r>
          </w:p>
        </w:tc>
        <w:tc>
          <w:tcPr>
            <w:tcW w:w="603"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29</w:t>
            </w:r>
          </w:p>
        </w:tc>
        <w:tc>
          <w:tcPr>
            <w:tcW w:w="604"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49</w:t>
            </w:r>
          </w:p>
        </w:tc>
        <w:tc>
          <w:tcPr>
            <w:tcW w:w="522" w:type="pct"/>
            <w:vAlign w:val="center"/>
          </w:tcPr>
          <w:p w:rsidR="00931C42" w:rsidRPr="00931C42" w:rsidRDefault="00931C42" w:rsidP="00931C42">
            <w:pPr>
              <w:jc w:val="center"/>
              <w:rPr>
                <w:rFonts w:ascii="Times New Roman" w:hAnsi="Times New Roman" w:cs="Times New Roman"/>
                <w:b/>
                <w:sz w:val="24"/>
                <w:szCs w:val="24"/>
              </w:rPr>
            </w:pPr>
            <w:r w:rsidRPr="00931C42">
              <w:rPr>
                <w:rFonts w:ascii="Times New Roman" w:hAnsi="Times New Roman" w:cs="Times New Roman"/>
                <w:b/>
                <w:sz w:val="24"/>
                <w:szCs w:val="24"/>
              </w:rPr>
              <w:t>46</w:t>
            </w:r>
          </w:p>
        </w:tc>
      </w:tr>
    </w:tbl>
    <w:p w:rsidR="00931C42" w:rsidRPr="00931C42" w:rsidRDefault="00931C42" w:rsidP="00931C42">
      <w:pPr>
        <w:spacing w:after="0" w:line="240" w:lineRule="auto"/>
        <w:jc w:val="both"/>
        <w:rPr>
          <w:rFonts w:ascii="Times New Roman" w:hAnsi="Times New Roman" w:cs="Times New Roman"/>
          <w:sz w:val="20"/>
          <w:szCs w:val="20"/>
        </w:rPr>
      </w:pPr>
      <w:r w:rsidRPr="00931C42">
        <w:rPr>
          <w:rFonts w:ascii="Times New Roman" w:hAnsi="Times New Roman" w:cs="Times New Roman"/>
          <w:sz w:val="20"/>
          <w:szCs w:val="20"/>
        </w:rPr>
        <w:t xml:space="preserve">Zdroj: spracované podľa údajov Svetovej banky v reportoch </w:t>
      </w:r>
      <w:proofErr w:type="spellStart"/>
      <w:r w:rsidRPr="00931C42">
        <w:rPr>
          <w:rFonts w:ascii="Times New Roman" w:hAnsi="Times New Roman" w:cs="Times New Roman"/>
          <w:sz w:val="20"/>
          <w:szCs w:val="20"/>
        </w:rPr>
        <w:t>Doing</w:t>
      </w:r>
      <w:proofErr w:type="spellEnd"/>
      <w:r w:rsidRPr="00931C42">
        <w:rPr>
          <w:rFonts w:ascii="Times New Roman" w:hAnsi="Times New Roman" w:cs="Times New Roman"/>
          <w:sz w:val="20"/>
          <w:szCs w:val="20"/>
        </w:rPr>
        <w:t xml:space="preserve"> </w:t>
      </w:r>
      <w:proofErr w:type="spellStart"/>
      <w:r w:rsidRPr="00931C42">
        <w:rPr>
          <w:rFonts w:ascii="Times New Roman" w:hAnsi="Times New Roman" w:cs="Times New Roman"/>
          <w:sz w:val="20"/>
          <w:szCs w:val="20"/>
        </w:rPr>
        <w:t>Business</w:t>
      </w:r>
      <w:proofErr w:type="spellEnd"/>
      <w:r w:rsidRPr="00931C42">
        <w:rPr>
          <w:rFonts w:ascii="Times New Roman" w:hAnsi="Times New Roman" w:cs="Times New Roman"/>
          <w:sz w:val="20"/>
          <w:szCs w:val="20"/>
        </w:rPr>
        <w:t xml:space="preserve"> 2013 – </w:t>
      </w:r>
      <w:proofErr w:type="spellStart"/>
      <w:r w:rsidRPr="00931C42">
        <w:rPr>
          <w:rFonts w:ascii="Times New Roman" w:hAnsi="Times New Roman" w:cs="Times New Roman"/>
          <w:sz w:val="20"/>
          <w:szCs w:val="20"/>
        </w:rPr>
        <w:t>Doing</w:t>
      </w:r>
      <w:proofErr w:type="spellEnd"/>
      <w:r w:rsidRPr="00931C42">
        <w:rPr>
          <w:rFonts w:ascii="Times New Roman" w:hAnsi="Times New Roman" w:cs="Times New Roman"/>
          <w:sz w:val="20"/>
          <w:szCs w:val="20"/>
        </w:rPr>
        <w:t xml:space="preserve"> </w:t>
      </w:r>
      <w:proofErr w:type="spellStart"/>
      <w:r w:rsidRPr="00931C42">
        <w:rPr>
          <w:rFonts w:ascii="Times New Roman" w:hAnsi="Times New Roman" w:cs="Times New Roman"/>
          <w:sz w:val="20"/>
          <w:szCs w:val="20"/>
        </w:rPr>
        <w:t>Business</w:t>
      </w:r>
      <w:proofErr w:type="spellEnd"/>
      <w:r w:rsidRPr="00931C42">
        <w:rPr>
          <w:rFonts w:ascii="Times New Roman" w:hAnsi="Times New Roman" w:cs="Times New Roman"/>
          <w:sz w:val="20"/>
          <w:szCs w:val="20"/>
        </w:rPr>
        <w:t xml:space="preserve"> 2016, dostupné na </w:t>
      </w:r>
      <w:hyperlink r:id="rId30" w:history="1">
        <w:r w:rsidRPr="00931C42">
          <w:rPr>
            <w:rFonts w:ascii="Times New Roman" w:hAnsi="Times New Roman" w:cs="Times New Roman"/>
            <w:sz w:val="20"/>
            <w:szCs w:val="20"/>
            <w:u w:val="single"/>
          </w:rPr>
          <w:t>http://www.doingbusiness.org/reports/global-reports/doing-business-2017</w:t>
        </w:r>
      </w:hyperlink>
    </w:p>
    <w:p w:rsidR="00931C42" w:rsidRPr="00931C42" w:rsidRDefault="00931C42" w:rsidP="00931C42">
      <w:pPr>
        <w:spacing w:after="0" w:line="240" w:lineRule="auto"/>
        <w:ind w:firstLine="708"/>
        <w:jc w:val="both"/>
        <w:rPr>
          <w:rFonts w:ascii="Times New Roman" w:hAnsi="Times New Roman" w:cs="Times New Roman"/>
          <w:sz w:val="24"/>
          <w:szCs w:val="24"/>
        </w:rPr>
      </w:pP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V rámci rebríčka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sa pri každom z indikátorov hodnotia vybrané aspekty danej problematiky. Nie každé opatrenie zlepšujúce podnikateľské prostredie v SR má teda aj vplyv na postavenie SR v hodnotení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Keďže Svetová banka hodnotí iba vybrané indikátory, rebríček komplexne nevystihuje celkovú kvalitu podnikateľského prostredia.</w:t>
      </w:r>
    </w:p>
    <w:p w:rsidR="00931C42" w:rsidRPr="00931C42" w:rsidRDefault="00563DF8" w:rsidP="00931C4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V rámci h</w:t>
      </w:r>
      <w:r w:rsidR="00931C42" w:rsidRPr="00931C42">
        <w:rPr>
          <w:rFonts w:ascii="Times New Roman" w:hAnsi="Times New Roman" w:cs="Times New Roman"/>
          <w:sz w:val="24"/>
          <w:szCs w:val="24"/>
        </w:rPr>
        <w:t>odnoteni</w:t>
      </w:r>
      <w:r>
        <w:rPr>
          <w:rFonts w:ascii="Times New Roman" w:hAnsi="Times New Roman" w:cs="Times New Roman"/>
          <w:sz w:val="24"/>
          <w:szCs w:val="24"/>
        </w:rPr>
        <w:t>a</w:t>
      </w:r>
      <w:r w:rsidR="00931C42" w:rsidRPr="00931C42">
        <w:rPr>
          <w:rFonts w:ascii="Times New Roman" w:hAnsi="Times New Roman" w:cs="Times New Roman"/>
          <w:sz w:val="24"/>
          <w:szCs w:val="24"/>
        </w:rPr>
        <w:t xml:space="preserve"> </w:t>
      </w:r>
      <w:proofErr w:type="spellStart"/>
      <w:r w:rsidR="00931C42" w:rsidRPr="00931C42">
        <w:rPr>
          <w:rFonts w:ascii="Times New Roman" w:hAnsi="Times New Roman" w:cs="Times New Roman"/>
          <w:sz w:val="24"/>
          <w:szCs w:val="24"/>
        </w:rPr>
        <w:t>Doing</w:t>
      </w:r>
      <w:proofErr w:type="spellEnd"/>
      <w:r w:rsidR="00931C42" w:rsidRPr="00931C42">
        <w:rPr>
          <w:rFonts w:ascii="Times New Roman" w:hAnsi="Times New Roman" w:cs="Times New Roman"/>
          <w:sz w:val="24"/>
          <w:szCs w:val="24"/>
        </w:rPr>
        <w:t xml:space="preserve"> </w:t>
      </w:r>
      <w:proofErr w:type="spellStart"/>
      <w:r w:rsidR="00931C42" w:rsidRPr="00931C42">
        <w:rPr>
          <w:rFonts w:ascii="Times New Roman" w:hAnsi="Times New Roman" w:cs="Times New Roman"/>
          <w:sz w:val="24"/>
          <w:szCs w:val="24"/>
        </w:rPr>
        <w:t>Business</w:t>
      </w:r>
      <w:proofErr w:type="spellEnd"/>
      <w:r w:rsidR="00931C42" w:rsidRPr="00931C42">
        <w:rPr>
          <w:rFonts w:ascii="Times New Roman" w:hAnsi="Times New Roman" w:cs="Times New Roman"/>
          <w:sz w:val="24"/>
          <w:szCs w:val="24"/>
        </w:rPr>
        <w:t xml:space="preserve"> 2017 v porovnaní s hodnotením </w:t>
      </w:r>
      <w:proofErr w:type="spellStart"/>
      <w:r>
        <w:rPr>
          <w:rFonts w:ascii="Times New Roman" w:hAnsi="Times New Roman" w:cs="Times New Roman"/>
          <w:sz w:val="24"/>
          <w:szCs w:val="24"/>
        </w:rPr>
        <w:t>Doing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Business</w:t>
      </w:r>
      <w:proofErr w:type="spellEnd"/>
      <w:r w:rsidR="00931C42" w:rsidRPr="00931C42">
        <w:rPr>
          <w:rFonts w:ascii="Times New Roman" w:hAnsi="Times New Roman" w:cs="Times New Roman"/>
          <w:sz w:val="24"/>
          <w:szCs w:val="24"/>
        </w:rPr>
        <w:t xml:space="preserve"> 2016 Slovensko zaznamenalo posun v rebríčku smerom nahor v jednom indikátore – </w:t>
      </w:r>
      <w:r w:rsidR="00931C42" w:rsidRPr="00931C42">
        <w:rPr>
          <w:rFonts w:ascii="Times New Roman" w:hAnsi="Times New Roman" w:cs="Times New Roman"/>
          <w:b/>
          <w:sz w:val="24"/>
          <w:szCs w:val="24"/>
        </w:rPr>
        <w:t>Daňové povinnosti firiem</w:t>
      </w:r>
      <w:r w:rsidR="00931C42" w:rsidRPr="00931C42">
        <w:rPr>
          <w:rFonts w:ascii="Times New Roman" w:hAnsi="Times New Roman" w:cs="Times New Roman"/>
          <w:sz w:val="24"/>
          <w:szCs w:val="24"/>
        </w:rPr>
        <w:t xml:space="preserve">, pričom boli vykonané tieto reformy: zníženie nákladov a zjednodušenie platby dane, ktoré sa týkajú zníženia dane z motorového vozidla a počtu platieb pri dani z nehnuteľností. Toto sú zároveň jediné reformy, ktoré Svetová banka v správe </w:t>
      </w:r>
      <w:proofErr w:type="spellStart"/>
      <w:r w:rsidR="00931C42" w:rsidRPr="00931C42">
        <w:rPr>
          <w:rFonts w:ascii="Times New Roman" w:hAnsi="Times New Roman" w:cs="Times New Roman"/>
          <w:sz w:val="24"/>
          <w:szCs w:val="24"/>
        </w:rPr>
        <w:t>Doing</w:t>
      </w:r>
      <w:proofErr w:type="spellEnd"/>
      <w:r w:rsidR="00931C42" w:rsidRPr="00931C42">
        <w:rPr>
          <w:rFonts w:ascii="Times New Roman" w:hAnsi="Times New Roman" w:cs="Times New Roman"/>
          <w:sz w:val="24"/>
          <w:szCs w:val="24"/>
        </w:rPr>
        <w:t xml:space="preserve"> </w:t>
      </w:r>
      <w:proofErr w:type="spellStart"/>
      <w:r w:rsidR="00931C42" w:rsidRPr="00931C42">
        <w:rPr>
          <w:rFonts w:ascii="Times New Roman" w:hAnsi="Times New Roman" w:cs="Times New Roman"/>
          <w:sz w:val="24"/>
          <w:szCs w:val="24"/>
        </w:rPr>
        <w:t>Business</w:t>
      </w:r>
      <w:proofErr w:type="spellEnd"/>
      <w:r w:rsidR="00931C42" w:rsidRPr="00931C42">
        <w:rPr>
          <w:rFonts w:ascii="Times New Roman" w:hAnsi="Times New Roman" w:cs="Times New Roman"/>
          <w:sz w:val="24"/>
          <w:szCs w:val="24"/>
        </w:rPr>
        <w:t xml:space="preserve"> 2017 vykazuje v rámci hodnotenia </w:t>
      </w:r>
      <w:r w:rsidR="002229ED">
        <w:rPr>
          <w:rFonts w:ascii="Times New Roman" w:hAnsi="Times New Roman" w:cs="Times New Roman"/>
          <w:sz w:val="24"/>
          <w:szCs w:val="24"/>
        </w:rPr>
        <w:t>SR</w:t>
      </w:r>
      <w:r w:rsidR="00931C42" w:rsidRPr="00931C42">
        <w:rPr>
          <w:rFonts w:ascii="Times New Roman" w:hAnsi="Times New Roman" w:cs="Times New Roman"/>
          <w:sz w:val="24"/>
          <w:szCs w:val="24"/>
        </w:rPr>
        <w:t xml:space="preserve">. </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Najväčší pokles – o 6 miest zaznamenala SR v indikátore </w:t>
      </w:r>
      <w:r w:rsidRPr="00931C42">
        <w:rPr>
          <w:rFonts w:ascii="Times New Roman" w:hAnsi="Times New Roman" w:cs="Times New Roman"/>
          <w:b/>
          <w:sz w:val="24"/>
          <w:szCs w:val="24"/>
        </w:rPr>
        <w:t>Prístup k elektrickej energii</w:t>
      </w:r>
      <w:r w:rsidRPr="00931C42">
        <w:rPr>
          <w:rFonts w:ascii="Times New Roman" w:hAnsi="Times New Roman" w:cs="Times New Roman"/>
          <w:sz w:val="24"/>
          <w:szCs w:val="24"/>
        </w:rPr>
        <w:t>. Je však potrebné  podotknúť, že reálne nedošlo k žiadnej zmene a pokles bol spôsobený pozitívnym vývojom v iných krajinách.</w:t>
      </w:r>
    </w:p>
    <w:p w:rsid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Pokiaľ ide o ukazovateľ „</w:t>
      </w:r>
      <w:proofErr w:type="spellStart"/>
      <w:r w:rsidRPr="00931C42">
        <w:rPr>
          <w:rFonts w:ascii="Times New Roman" w:hAnsi="Times New Roman" w:cs="Times New Roman"/>
          <w:sz w:val="24"/>
          <w:szCs w:val="24"/>
        </w:rPr>
        <w:t>Distance</w:t>
      </w:r>
      <w:proofErr w:type="spellEnd"/>
      <w:r w:rsidRPr="00931C42">
        <w:rPr>
          <w:rFonts w:ascii="Times New Roman" w:hAnsi="Times New Roman" w:cs="Times New Roman"/>
          <w:sz w:val="24"/>
          <w:szCs w:val="24"/>
        </w:rPr>
        <w:t xml:space="preserve"> to </w:t>
      </w:r>
      <w:proofErr w:type="spellStart"/>
      <w:r w:rsidRPr="00931C42">
        <w:rPr>
          <w:rFonts w:ascii="Times New Roman" w:hAnsi="Times New Roman" w:cs="Times New Roman"/>
          <w:sz w:val="24"/>
          <w:szCs w:val="24"/>
        </w:rPr>
        <w:t>Frontier</w:t>
      </w:r>
      <w:proofErr w:type="spellEnd"/>
      <w:r w:rsidRPr="00931C42">
        <w:rPr>
          <w:rFonts w:ascii="Times New Roman" w:hAnsi="Times New Roman" w:cs="Times New Roman"/>
          <w:sz w:val="24"/>
          <w:szCs w:val="24"/>
        </w:rPr>
        <w:t>“, ktorý hodnotí stav krajiny ako celku alebo v rámci jednotlivých indikátorov v porovnaní s najlepšou hodnotou dosiahnutou spomedzi skúmaných krajín od roku 2005 (tento optimálny stav má hodnotu 100), Slovensko sa medziročne zlepšilo o 0,17 bodu a ukazovateľ „</w:t>
      </w:r>
      <w:proofErr w:type="spellStart"/>
      <w:r w:rsidRPr="00931C42">
        <w:rPr>
          <w:rFonts w:ascii="Times New Roman" w:hAnsi="Times New Roman" w:cs="Times New Roman"/>
          <w:sz w:val="24"/>
          <w:szCs w:val="24"/>
        </w:rPr>
        <w:t>Distance</w:t>
      </w:r>
      <w:proofErr w:type="spellEnd"/>
      <w:r w:rsidRPr="00931C42">
        <w:rPr>
          <w:rFonts w:ascii="Times New Roman" w:hAnsi="Times New Roman" w:cs="Times New Roman"/>
          <w:sz w:val="24"/>
          <w:szCs w:val="24"/>
        </w:rPr>
        <w:t xml:space="preserve"> to </w:t>
      </w:r>
      <w:proofErr w:type="spellStart"/>
      <w:r w:rsidRPr="00931C42">
        <w:rPr>
          <w:rFonts w:ascii="Times New Roman" w:hAnsi="Times New Roman" w:cs="Times New Roman"/>
          <w:sz w:val="24"/>
          <w:szCs w:val="24"/>
        </w:rPr>
        <w:t>Frontier</w:t>
      </w:r>
      <w:proofErr w:type="spellEnd"/>
      <w:r w:rsidRPr="00931C42">
        <w:rPr>
          <w:rFonts w:ascii="Times New Roman" w:hAnsi="Times New Roman" w:cs="Times New Roman"/>
          <w:sz w:val="24"/>
          <w:szCs w:val="24"/>
        </w:rPr>
        <w:t xml:space="preserve">“ má momentálne hodnotu 75,61. Znamená to, že i keď sa Slovensko v hodnotení jednotlivých indikátorov (okrem indikátora Daňové povinnosti firiem) posunulo v rebríčku smerom nadol, celková kvalita podnikateľského prostredia sa mierne zlepšila. </w:t>
      </w:r>
    </w:p>
    <w:p w:rsidR="008F6FBD" w:rsidRPr="00931C42" w:rsidRDefault="008F6FBD" w:rsidP="00931C42">
      <w:pPr>
        <w:spacing w:after="0" w:line="240" w:lineRule="auto"/>
        <w:ind w:firstLine="708"/>
        <w:jc w:val="both"/>
        <w:rPr>
          <w:rFonts w:ascii="Times New Roman" w:hAnsi="Times New Roman" w:cs="Times New Roman"/>
          <w:sz w:val="24"/>
          <w:szCs w:val="24"/>
        </w:rPr>
      </w:pPr>
    </w:p>
    <w:p w:rsidR="00931C42" w:rsidRPr="00931C42" w:rsidRDefault="00931C42" w:rsidP="00931C42">
      <w:pPr>
        <w:spacing w:after="0" w:line="240" w:lineRule="auto"/>
        <w:ind w:firstLine="360"/>
        <w:jc w:val="both"/>
        <w:rPr>
          <w:rFonts w:ascii="Times New Roman" w:hAnsi="Times New Roman" w:cs="Times New Roman"/>
          <w:sz w:val="24"/>
          <w:szCs w:val="24"/>
        </w:rPr>
      </w:pPr>
      <w:r w:rsidRPr="00931C42">
        <w:rPr>
          <w:rFonts w:ascii="Times New Roman" w:hAnsi="Times New Roman" w:cs="Times New Roman"/>
          <w:sz w:val="24"/>
          <w:szCs w:val="24"/>
        </w:rPr>
        <w:t>Ako vysvetlenie poklesu Slovenska v rebríčku hodnotenia o 3 miesta možno uviesť nasledujúce dôvody:</w:t>
      </w:r>
    </w:p>
    <w:p w:rsidR="00931C42" w:rsidRPr="00931C42" w:rsidRDefault="00931C42" w:rsidP="00931C42">
      <w:pPr>
        <w:numPr>
          <w:ilvl w:val="0"/>
          <w:numId w:val="21"/>
        </w:numPr>
        <w:spacing w:after="0" w:line="240" w:lineRule="auto"/>
        <w:contextualSpacing/>
        <w:jc w:val="both"/>
        <w:rPr>
          <w:rFonts w:ascii="Times New Roman" w:hAnsi="Times New Roman" w:cs="Times New Roman"/>
          <w:b/>
          <w:sz w:val="24"/>
          <w:szCs w:val="24"/>
        </w:rPr>
      </w:pPr>
      <w:r w:rsidRPr="00931C42">
        <w:rPr>
          <w:rFonts w:ascii="Times New Roman" w:hAnsi="Times New Roman" w:cs="Times New Roman"/>
          <w:sz w:val="24"/>
          <w:szCs w:val="24"/>
        </w:rPr>
        <w:t xml:space="preserve">výraznejšie zlepšenie podmienok podnikania v iných krajinách, </w:t>
      </w:r>
    </w:p>
    <w:p w:rsidR="00931C42" w:rsidRPr="00931C42" w:rsidRDefault="00931C42" w:rsidP="00931C42">
      <w:pPr>
        <w:numPr>
          <w:ilvl w:val="0"/>
          <w:numId w:val="21"/>
        </w:numPr>
        <w:spacing w:after="0" w:line="240" w:lineRule="auto"/>
        <w:contextualSpacing/>
        <w:jc w:val="both"/>
        <w:rPr>
          <w:rFonts w:ascii="Times New Roman" w:hAnsi="Times New Roman" w:cs="Times New Roman"/>
          <w:b/>
          <w:sz w:val="24"/>
          <w:szCs w:val="24"/>
        </w:rPr>
      </w:pPr>
      <w:r w:rsidRPr="00931C42">
        <w:rPr>
          <w:rFonts w:ascii="Times New Roman" w:hAnsi="Times New Roman" w:cs="Times New Roman"/>
          <w:sz w:val="24"/>
          <w:szCs w:val="24"/>
        </w:rPr>
        <w:t>dočasné spomalenie tempa prijímania opatrení na zlepšenie podnikateľského prostredia v dôsledku aktuálnej fázy politického cyklu (obdobie pred a krátko po parlamentných voľbách v marci 2016),</w:t>
      </w:r>
    </w:p>
    <w:p w:rsidR="00931C42" w:rsidRPr="00931C42" w:rsidRDefault="00931C42" w:rsidP="00931C42">
      <w:pPr>
        <w:numPr>
          <w:ilvl w:val="0"/>
          <w:numId w:val="21"/>
        </w:numPr>
        <w:spacing w:after="0" w:line="240" w:lineRule="auto"/>
        <w:contextualSpacing/>
        <w:jc w:val="both"/>
        <w:rPr>
          <w:rFonts w:ascii="Times New Roman" w:hAnsi="Times New Roman" w:cs="Times New Roman"/>
          <w:b/>
          <w:sz w:val="24"/>
          <w:szCs w:val="24"/>
        </w:rPr>
      </w:pPr>
      <w:r w:rsidRPr="00931C42">
        <w:rPr>
          <w:rFonts w:ascii="Times New Roman" w:hAnsi="Times New Roman" w:cs="Times New Roman"/>
          <w:sz w:val="24"/>
          <w:szCs w:val="24"/>
        </w:rPr>
        <w:t>neuznanie (v niektorých prípadoch opakované) reforiem a zmien podmienok podnikania na Slovensku zo strany Svetovej banky, ktoré by s vysokou pravdepodobnosťou viedli k zlepšeniu postavenia SR v hodnotení,</w:t>
      </w:r>
    </w:p>
    <w:p w:rsidR="00931C42" w:rsidRDefault="00931C42" w:rsidP="00931C42">
      <w:pPr>
        <w:numPr>
          <w:ilvl w:val="0"/>
          <w:numId w:val="21"/>
        </w:numPr>
        <w:spacing w:after="0" w:line="240" w:lineRule="auto"/>
        <w:contextualSpacing/>
        <w:jc w:val="both"/>
        <w:rPr>
          <w:rFonts w:ascii="Times New Roman" w:hAnsi="Times New Roman" w:cs="Times New Roman"/>
          <w:sz w:val="24"/>
          <w:szCs w:val="24"/>
        </w:rPr>
      </w:pPr>
      <w:r w:rsidRPr="00931C42">
        <w:rPr>
          <w:rFonts w:ascii="Times New Roman" w:hAnsi="Times New Roman" w:cs="Times New Roman"/>
          <w:sz w:val="24"/>
          <w:szCs w:val="24"/>
        </w:rPr>
        <w:lastRenderedPageBreak/>
        <w:t>nedostatočná informovanosť podnikateľov o možnostiach, ktoré im slovenský právny poriadok a verejné inštitúcie poskytujú: na základe doterajších skúseností je možné usudzovať, že Svetová banka pri vytváraní rebríčka berie do úvahy názory respondentov zo súkromnej sféry v rovnakej či dokonca väčšej miere ako názory respondentov zo štátnej správy.</w:t>
      </w:r>
    </w:p>
    <w:p w:rsidR="00EF0A03" w:rsidRPr="00931C42" w:rsidRDefault="00EF0A03" w:rsidP="006400DC">
      <w:pPr>
        <w:spacing w:after="0" w:line="240" w:lineRule="auto"/>
        <w:ind w:left="720"/>
        <w:contextualSpacing/>
        <w:jc w:val="both"/>
        <w:rPr>
          <w:rFonts w:ascii="Times New Roman" w:hAnsi="Times New Roman" w:cs="Times New Roman"/>
          <w:sz w:val="24"/>
          <w:szCs w:val="24"/>
        </w:rPr>
      </w:pPr>
    </w:p>
    <w:p w:rsidR="00931C42" w:rsidRDefault="00931C42" w:rsidP="006400DC">
      <w:pPr>
        <w:keepNext/>
        <w:keepLines/>
        <w:spacing w:after="0" w:line="240" w:lineRule="auto"/>
        <w:jc w:val="both"/>
        <w:outlineLvl w:val="0"/>
        <w:rPr>
          <w:rFonts w:ascii="Times New Roman" w:eastAsia="Times New Roman" w:hAnsi="Times New Roman" w:cs="Times New Roman"/>
          <w:b/>
          <w:sz w:val="24"/>
          <w:szCs w:val="24"/>
        </w:rPr>
      </w:pPr>
      <w:r w:rsidRPr="00931C42">
        <w:rPr>
          <w:rFonts w:ascii="Times New Roman" w:eastAsia="Times New Roman" w:hAnsi="Times New Roman" w:cs="Times New Roman"/>
          <w:b/>
          <w:sz w:val="24"/>
          <w:szCs w:val="24"/>
        </w:rPr>
        <w:t>4.2 Postavenie SR v rebríčku konkurencieschopnosti Svetového ekonomického fóra</w:t>
      </w:r>
    </w:p>
    <w:p w:rsidR="00CA00DC" w:rsidRPr="00931C42" w:rsidRDefault="00CA00DC" w:rsidP="006400DC">
      <w:pPr>
        <w:keepNext/>
        <w:keepLines/>
        <w:spacing w:after="0" w:line="240" w:lineRule="auto"/>
        <w:jc w:val="both"/>
        <w:outlineLvl w:val="0"/>
        <w:rPr>
          <w:rFonts w:ascii="Times New Roman" w:eastAsia="Times New Roman" w:hAnsi="Times New Roman" w:cs="Times New Roman"/>
          <w:b/>
          <w:sz w:val="24"/>
          <w:szCs w:val="24"/>
        </w:rPr>
      </w:pPr>
    </w:p>
    <w:p w:rsidR="00931C42" w:rsidRPr="00931C42" w:rsidRDefault="00931C42" w:rsidP="00CA00DC">
      <w:pPr>
        <w:spacing w:after="120" w:line="240" w:lineRule="auto"/>
        <w:ind w:firstLine="709"/>
        <w:jc w:val="both"/>
        <w:rPr>
          <w:rFonts w:ascii="Times New Roman" w:eastAsia="Times New Roman" w:hAnsi="Times New Roman" w:cs="Times New Roman"/>
          <w:sz w:val="24"/>
          <w:szCs w:val="24"/>
          <w:lang w:eastAsia="sk-SK"/>
        </w:rPr>
      </w:pPr>
      <w:r w:rsidRPr="00931C42">
        <w:rPr>
          <w:rFonts w:ascii="Times New Roman" w:eastAsia="Times New Roman" w:hAnsi="Times New Roman" w:cs="Times New Roman"/>
          <w:sz w:val="24"/>
          <w:szCs w:val="24"/>
          <w:lang w:eastAsia="sk-SK"/>
        </w:rPr>
        <w:t>Svetové ekonomické fórum (</w:t>
      </w:r>
      <w:r w:rsidR="00482620">
        <w:rPr>
          <w:rFonts w:ascii="Times New Roman" w:eastAsia="Times New Roman" w:hAnsi="Times New Roman" w:cs="Times New Roman"/>
          <w:sz w:val="24"/>
          <w:szCs w:val="24"/>
          <w:lang w:eastAsia="sk-SK"/>
        </w:rPr>
        <w:t>ďalej aj ako „</w:t>
      </w:r>
      <w:r w:rsidRPr="00931C42">
        <w:rPr>
          <w:rFonts w:ascii="Times New Roman" w:eastAsia="Times New Roman" w:hAnsi="Times New Roman" w:cs="Times New Roman"/>
          <w:sz w:val="24"/>
          <w:szCs w:val="24"/>
          <w:lang w:eastAsia="sk-SK"/>
        </w:rPr>
        <w:t>WEF</w:t>
      </w:r>
      <w:r w:rsidR="00482620">
        <w:rPr>
          <w:rFonts w:ascii="Times New Roman" w:eastAsia="Times New Roman" w:hAnsi="Times New Roman" w:cs="Times New Roman"/>
          <w:sz w:val="24"/>
          <w:szCs w:val="24"/>
          <w:lang w:eastAsia="sk-SK"/>
        </w:rPr>
        <w:t>“</w:t>
      </w:r>
      <w:r w:rsidRPr="00931C42">
        <w:rPr>
          <w:rFonts w:ascii="Times New Roman" w:eastAsia="Times New Roman" w:hAnsi="Times New Roman" w:cs="Times New Roman"/>
          <w:sz w:val="24"/>
          <w:szCs w:val="24"/>
          <w:lang w:eastAsia="sk-SK"/>
        </w:rPr>
        <w:t>) hodnotí konkurencieschopnosť krajín na základe verejných štatistických dát a celosvetového Prieskumu názorov riadiacich pracovníkov. Prieskum zvyčajne prebieha od februára do apríla daného roka. V roku 2016 sa doň zapojilo viac ako 14 000 manažérov z celého sveta. WEF každoročne na jeseň vydáva Správu o globálnej konkurencieschopnosti. Index konkurencieschopnosti hodnotí perspektívu krajiny dosahovať udržateľný hospodársky rast v strednodobom horizonte. Každoročne hodnotí kvalitu verejných inštitúcií, vládne politiky a ďalšie faktory, ktoré podmieňujú úroveň produktivity a prosperity v 138 krajinách sveta.</w:t>
      </w:r>
    </w:p>
    <w:p w:rsidR="00931C42" w:rsidRPr="00931C42" w:rsidRDefault="00931C42" w:rsidP="00931C42">
      <w:pPr>
        <w:spacing w:before="240" w:after="120" w:line="240" w:lineRule="auto"/>
        <w:ind w:left="709"/>
        <w:jc w:val="both"/>
        <w:rPr>
          <w:rFonts w:ascii="Times New Roman" w:eastAsia="Times New Roman" w:hAnsi="Times New Roman" w:cs="Times New Roman"/>
          <w:b/>
          <w:bCs/>
          <w:sz w:val="24"/>
          <w:szCs w:val="24"/>
          <w:lang w:eastAsia="sk-SK"/>
        </w:rPr>
      </w:pPr>
      <w:r w:rsidRPr="00931C42">
        <w:rPr>
          <w:rFonts w:ascii="Times New Roman" w:eastAsia="Times New Roman" w:hAnsi="Times New Roman" w:cs="Times New Roman"/>
          <w:b/>
          <w:bCs/>
          <w:sz w:val="24"/>
          <w:szCs w:val="24"/>
          <w:lang w:eastAsia="sk-SK"/>
        </w:rPr>
        <w:t>Hodnotené piliere konkurencieschopnosti:</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1. Kvalita verejných inštitúcií</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2. Infraštruktúra</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3. Makroekonomické prostredie</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4. Zdravie a základné vzdelávanie</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5. Vyššie vzdelávanie a prax</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6. Efektívnosť trhu tovarov</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7. Efektívnosť pracovného trhu</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8. Rozvinutosť finančného trhu</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9. Technologická pripravenosť</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10. Veľkosť trhu</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11. Rozvinutosť podnikateľského prostredia</w:t>
      </w:r>
    </w:p>
    <w:p w:rsidR="00931C42" w:rsidRPr="00931C42" w:rsidRDefault="00931C42" w:rsidP="00931C42">
      <w:pPr>
        <w:spacing w:after="0" w:line="240" w:lineRule="auto"/>
        <w:ind w:left="709"/>
        <w:jc w:val="both"/>
        <w:rPr>
          <w:rFonts w:ascii="Times New Roman" w:hAnsi="Times New Roman" w:cs="Times New Roman"/>
          <w:sz w:val="24"/>
          <w:szCs w:val="24"/>
        </w:rPr>
      </w:pPr>
      <w:r w:rsidRPr="00931C42">
        <w:rPr>
          <w:rFonts w:ascii="Times New Roman" w:hAnsi="Times New Roman" w:cs="Times New Roman"/>
          <w:sz w:val="24"/>
          <w:szCs w:val="24"/>
        </w:rPr>
        <w:t>12. Inovácie</w:t>
      </w:r>
    </w:p>
    <w:p w:rsidR="00931C42" w:rsidRPr="00931C42" w:rsidRDefault="00931C42" w:rsidP="00931C42">
      <w:pPr>
        <w:spacing w:after="0" w:line="240" w:lineRule="auto"/>
        <w:ind w:firstLine="709"/>
        <w:jc w:val="both"/>
        <w:rPr>
          <w:rFonts w:ascii="Times New Roman" w:eastAsia="Times New Roman" w:hAnsi="Times New Roman" w:cs="Times New Roman"/>
          <w:sz w:val="24"/>
          <w:szCs w:val="24"/>
          <w:lang w:eastAsia="sk-SK"/>
        </w:rPr>
      </w:pPr>
    </w:p>
    <w:p w:rsidR="00943524" w:rsidRDefault="00363DB6" w:rsidP="006400DC">
      <w:pPr>
        <w:spacing w:after="0" w:line="240" w:lineRule="auto"/>
        <w:ind w:firstLine="709"/>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V roku 2016 sa hodnotenia WEF zúčastnilo 138 štátov. </w:t>
      </w:r>
      <w:r w:rsidR="005D27A7">
        <w:rPr>
          <w:rFonts w:ascii="Times New Roman" w:eastAsia="Times New Roman" w:hAnsi="Times New Roman" w:cs="Times New Roman"/>
          <w:sz w:val="24"/>
          <w:szCs w:val="24"/>
          <w:lang w:eastAsia="sk-SK"/>
        </w:rPr>
        <w:t>V rámci Slovenska prieskum absolvovalo</w:t>
      </w:r>
      <w:r w:rsidR="00ED7A11">
        <w:rPr>
          <w:rFonts w:ascii="Times New Roman" w:eastAsia="Times New Roman" w:hAnsi="Times New Roman" w:cs="Times New Roman"/>
          <w:sz w:val="24"/>
          <w:szCs w:val="24"/>
          <w:lang w:eastAsia="sk-SK"/>
        </w:rPr>
        <w:t xml:space="preserve"> vyše </w:t>
      </w:r>
      <w:r w:rsidR="005D27A7">
        <w:rPr>
          <w:rFonts w:ascii="Times New Roman" w:eastAsia="Times New Roman" w:hAnsi="Times New Roman" w:cs="Times New Roman"/>
          <w:sz w:val="24"/>
          <w:szCs w:val="24"/>
          <w:lang w:eastAsia="sk-SK"/>
        </w:rPr>
        <w:t xml:space="preserve">130 manažérov spoločností rôznej veľkosti. Slovensko obsadilo 65. </w:t>
      </w:r>
      <w:r w:rsidR="00ED7A11">
        <w:rPr>
          <w:rFonts w:ascii="Times New Roman" w:eastAsia="Times New Roman" w:hAnsi="Times New Roman" w:cs="Times New Roman"/>
          <w:sz w:val="24"/>
          <w:szCs w:val="24"/>
          <w:lang w:eastAsia="sk-SK"/>
        </w:rPr>
        <w:t>m</w:t>
      </w:r>
      <w:r w:rsidR="005D27A7">
        <w:rPr>
          <w:rFonts w:ascii="Times New Roman" w:eastAsia="Times New Roman" w:hAnsi="Times New Roman" w:cs="Times New Roman"/>
          <w:sz w:val="24"/>
          <w:szCs w:val="24"/>
          <w:lang w:eastAsia="sk-SK"/>
        </w:rPr>
        <w:t xml:space="preserve">iesto a oproti roku 2015 si svoje umiestnenie zlepšilo o 2 pozície. </w:t>
      </w:r>
      <w:r w:rsidR="00ED7A11">
        <w:rPr>
          <w:rFonts w:ascii="Times New Roman" w:eastAsia="Times New Roman" w:hAnsi="Times New Roman" w:cs="Times New Roman"/>
          <w:sz w:val="24"/>
          <w:szCs w:val="24"/>
          <w:lang w:eastAsia="sk-SK"/>
        </w:rPr>
        <w:t xml:space="preserve">V ukazovateľoch sme zaznamenali zlepšenie v oblasti technologickej pripravenosti inovácií, pričom v ostatných indikátoroch si Slovensko udržalo rovnaké hodnotenie. </w:t>
      </w:r>
      <w:r w:rsidR="00943524">
        <w:rPr>
          <w:rFonts w:ascii="Times New Roman" w:eastAsia="Times New Roman" w:hAnsi="Times New Roman" w:cs="Times New Roman"/>
          <w:sz w:val="24"/>
          <w:szCs w:val="24"/>
          <w:lang w:eastAsia="sk-SK"/>
        </w:rPr>
        <w:t xml:space="preserve">Pozitívne boli hodnotené indikátory ako technologická pripravenosť, úroveň zdravotníctva a základných škôl a makroekonomické prostredie. Podnikatelia negatívne vnímajú hlavne korupciu. </w:t>
      </w:r>
    </w:p>
    <w:p w:rsidR="00EF0A03" w:rsidRDefault="00EF0A03" w:rsidP="006400DC">
      <w:pPr>
        <w:spacing w:after="0" w:line="240" w:lineRule="auto"/>
        <w:ind w:firstLine="709"/>
        <w:jc w:val="both"/>
      </w:pPr>
    </w:p>
    <w:p w:rsidR="00127A5A" w:rsidRDefault="00931C42" w:rsidP="00931C42">
      <w:pPr>
        <w:spacing w:after="0" w:line="240" w:lineRule="auto"/>
        <w:ind w:left="426" w:hanging="426"/>
        <w:jc w:val="both"/>
        <w:rPr>
          <w:rFonts w:ascii="Times New Roman" w:eastAsia="Times New Roman" w:hAnsi="Times New Roman" w:cs="Times New Roman"/>
          <w:b/>
          <w:sz w:val="24"/>
          <w:szCs w:val="24"/>
        </w:rPr>
      </w:pPr>
      <w:r w:rsidRPr="00931C42">
        <w:rPr>
          <w:rFonts w:ascii="Times New Roman" w:eastAsia="Times New Roman" w:hAnsi="Times New Roman" w:cs="Times New Roman"/>
          <w:b/>
          <w:sz w:val="24"/>
          <w:szCs w:val="24"/>
        </w:rPr>
        <w:t xml:space="preserve">4.3 </w:t>
      </w:r>
      <w:r w:rsidR="00127A5A">
        <w:rPr>
          <w:rFonts w:ascii="Times New Roman" w:eastAsia="Times New Roman" w:hAnsi="Times New Roman" w:cs="Times New Roman"/>
          <w:b/>
          <w:sz w:val="24"/>
          <w:szCs w:val="24"/>
        </w:rPr>
        <w:tab/>
      </w:r>
      <w:r w:rsidR="00127A5A">
        <w:rPr>
          <w:rFonts w:ascii="Times New Roman" w:eastAsia="Times New Roman" w:hAnsi="Times New Roman" w:cs="Times New Roman"/>
          <w:b/>
          <w:sz w:val="24"/>
          <w:szCs w:val="24"/>
        </w:rPr>
        <w:tab/>
        <w:t>Výsledky ďalších prieskumov</w:t>
      </w:r>
      <w:r w:rsidR="0083692A">
        <w:rPr>
          <w:rFonts w:ascii="Times New Roman" w:eastAsia="Times New Roman" w:hAnsi="Times New Roman" w:cs="Times New Roman"/>
          <w:b/>
          <w:sz w:val="24"/>
          <w:szCs w:val="24"/>
        </w:rPr>
        <w:t xml:space="preserve"> podnikateľského prostredia</w:t>
      </w:r>
    </w:p>
    <w:p w:rsidR="00127A5A" w:rsidRDefault="00127A5A" w:rsidP="00931C42">
      <w:pPr>
        <w:spacing w:after="0" w:line="240" w:lineRule="auto"/>
        <w:ind w:left="426" w:hanging="426"/>
        <w:jc w:val="both"/>
        <w:rPr>
          <w:rFonts w:ascii="Times New Roman" w:eastAsia="Times New Roman" w:hAnsi="Times New Roman" w:cs="Times New Roman"/>
          <w:b/>
          <w:sz w:val="24"/>
          <w:szCs w:val="24"/>
        </w:rPr>
      </w:pPr>
    </w:p>
    <w:p w:rsidR="00931C42" w:rsidRPr="00931C42" w:rsidRDefault="00931C42" w:rsidP="00804E7E">
      <w:pPr>
        <w:spacing w:after="0" w:line="240" w:lineRule="auto"/>
        <w:jc w:val="both"/>
        <w:rPr>
          <w:rFonts w:ascii="Times New Roman" w:eastAsia="Times New Roman" w:hAnsi="Times New Roman" w:cs="Times New Roman"/>
          <w:b/>
          <w:sz w:val="24"/>
          <w:szCs w:val="24"/>
        </w:rPr>
      </w:pPr>
      <w:r w:rsidRPr="00931C42">
        <w:rPr>
          <w:rFonts w:ascii="Times New Roman" w:eastAsia="Times New Roman" w:hAnsi="Times New Roman" w:cs="Times New Roman"/>
          <w:b/>
          <w:sz w:val="24"/>
          <w:szCs w:val="24"/>
        </w:rPr>
        <w:t xml:space="preserve">Analýza výsledkov prieskumu </w:t>
      </w:r>
      <w:proofErr w:type="spellStart"/>
      <w:r w:rsidRPr="00931C42">
        <w:rPr>
          <w:rFonts w:ascii="Times New Roman" w:eastAsia="Times New Roman" w:hAnsi="Times New Roman" w:cs="Times New Roman"/>
          <w:b/>
          <w:sz w:val="24"/>
          <w:szCs w:val="24"/>
        </w:rPr>
        <w:t>Global</w:t>
      </w:r>
      <w:proofErr w:type="spellEnd"/>
      <w:r w:rsidRPr="00931C42">
        <w:rPr>
          <w:rFonts w:ascii="Times New Roman" w:eastAsia="Times New Roman" w:hAnsi="Times New Roman" w:cs="Times New Roman"/>
          <w:b/>
          <w:sz w:val="24"/>
          <w:szCs w:val="24"/>
        </w:rPr>
        <w:t xml:space="preserve"> </w:t>
      </w:r>
      <w:proofErr w:type="spellStart"/>
      <w:r w:rsidRPr="00931C42">
        <w:rPr>
          <w:rFonts w:ascii="Times New Roman" w:eastAsia="Times New Roman" w:hAnsi="Times New Roman" w:cs="Times New Roman"/>
          <w:b/>
          <w:sz w:val="24"/>
          <w:szCs w:val="24"/>
        </w:rPr>
        <w:t>Entrepreneurship</w:t>
      </w:r>
      <w:proofErr w:type="spellEnd"/>
      <w:r w:rsidRPr="00931C42">
        <w:rPr>
          <w:rFonts w:ascii="Times New Roman" w:eastAsia="Times New Roman" w:hAnsi="Times New Roman" w:cs="Times New Roman"/>
          <w:b/>
          <w:sz w:val="24"/>
          <w:szCs w:val="24"/>
        </w:rPr>
        <w:t xml:space="preserve"> Monitor (GEM) vo vzťahu</w:t>
      </w:r>
      <w:r w:rsidR="00127A5A">
        <w:rPr>
          <w:rFonts w:ascii="Times New Roman" w:eastAsia="Times New Roman" w:hAnsi="Times New Roman" w:cs="Times New Roman"/>
          <w:b/>
          <w:sz w:val="24"/>
          <w:szCs w:val="24"/>
        </w:rPr>
        <w:t xml:space="preserve"> </w:t>
      </w:r>
      <w:r w:rsidRPr="00931C42">
        <w:rPr>
          <w:rFonts w:ascii="Times New Roman" w:eastAsia="Times New Roman" w:hAnsi="Times New Roman" w:cs="Times New Roman"/>
          <w:b/>
          <w:sz w:val="24"/>
          <w:szCs w:val="24"/>
        </w:rPr>
        <w:t xml:space="preserve">k podnikateľskému prostrediu SR v roku 2015 </w:t>
      </w:r>
      <w:r w:rsidRPr="00931C42">
        <w:rPr>
          <w:rFonts w:ascii="Times New Roman" w:hAnsi="Times New Roman"/>
          <w:b/>
          <w:sz w:val="24"/>
          <w:szCs w:val="24"/>
        </w:rPr>
        <w:t>a v </w:t>
      </w:r>
      <w:r w:rsidR="0060470D">
        <w:rPr>
          <w:rFonts w:ascii="Times New Roman" w:hAnsi="Times New Roman"/>
          <w:b/>
          <w:sz w:val="24"/>
          <w:szCs w:val="24"/>
        </w:rPr>
        <w:t>porovnaní</w:t>
      </w:r>
      <w:r w:rsidRPr="00931C42">
        <w:rPr>
          <w:rFonts w:ascii="Times New Roman" w:hAnsi="Times New Roman"/>
          <w:b/>
          <w:sz w:val="24"/>
          <w:szCs w:val="24"/>
        </w:rPr>
        <w:t xml:space="preserve"> 5 ročného obdobia 2011-2015</w:t>
      </w:r>
    </w:p>
    <w:p w:rsidR="00931C42" w:rsidRPr="00931C42" w:rsidRDefault="00931C42" w:rsidP="00931C42">
      <w:pPr>
        <w:spacing w:after="0" w:line="240" w:lineRule="auto"/>
        <w:jc w:val="both"/>
        <w:rPr>
          <w:rFonts w:ascii="Times New Roman" w:eastAsia="Times New Roman" w:hAnsi="Times New Roman" w:cs="Times New Roman"/>
          <w:sz w:val="24"/>
          <w:szCs w:val="24"/>
        </w:rPr>
      </w:pPr>
    </w:p>
    <w:p w:rsidR="00C664FB" w:rsidRDefault="00931C42" w:rsidP="00C664FB">
      <w:pPr>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r>
      <w:r w:rsidR="00C664FB" w:rsidRPr="00931C42">
        <w:rPr>
          <w:rFonts w:ascii="Times New Roman" w:eastAsia="Times New Roman" w:hAnsi="Times New Roman" w:cs="Times New Roman"/>
          <w:sz w:val="24"/>
          <w:szCs w:val="24"/>
        </w:rPr>
        <w:t xml:space="preserve">Prieskum </w:t>
      </w:r>
      <w:proofErr w:type="spellStart"/>
      <w:r w:rsidR="00C664FB" w:rsidRPr="00931C42">
        <w:rPr>
          <w:rFonts w:ascii="Times New Roman" w:eastAsia="Times New Roman" w:hAnsi="Times New Roman" w:cs="Times New Roman"/>
          <w:sz w:val="24"/>
          <w:szCs w:val="24"/>
        </w:rPr>
        <w:t>Global</w:t>
      </w:r>
      <w:proofErr w:type="spellEnd"/>
      <w:r w:rsidR="00C664FB" w:rsidRPr="00931C42">
        <w:rPr>
          <w:rFonts w:ascii="Times New Roman" w:eastAsia="Times New Roman" w:hAnsi="Times New Roman" w:cs="Times New Roman"/>
          <w:sz w:val="24"/>
          <w:szCs w:val="24"/>
        </w:rPr>
        <w:t xml:space="preserve"> </w:t>
      </w:r>
      <w:proofErr w:type="spellStart"/>
      <w:r w:rsidR="00C664FB" w:rsidRPr="00931C42">
        <w:rPr>
          <w:rFonts w:ascii="Times New Roman" w:eastAsia="Times New Roman" w:hAnsi="Times New Roman" w:cs="Times New Roman"/>
          <w:sz w:val="24"/>
          <w:szCs w:val="24"/>
        </w:rPr>
        <w:t>Entrepreneurship</w:t>
      </w:r>
      <w:proofErr w:type="spellEnd"/>
      <w:r w:rsidR="00C664FB" w:rsidRPr="00931C42">
        <w:rPr>
          <w:rFonts w:ascii="Times New Roman" w:eastAsia="Times New Roman" w:hAnsi="Times New Roman" w:cs="Times New Roman"/>
          <w:sz w:val="24"/>
          <w:szCs w:val="24"/>
        </w:rPr>
        <w:t xml:space="preserve"> Monitor predstavuje ďalšiu z významnejších svetových štúdií o dynamike podnikania. </w:t>
      </w:r>
      <w:r w:rsidR="00C664FB">
        <w:rPr>
          <w:rFonts w:ascii="Times New Roman" w:eastAsia="Times New Roman" w:hAnsi="Times New Roman" w:cs="Times New Roman"/>
          <w:sz w:val="24"/>
          <w:szCs w:val="24"/>
        </w:rPr>
        <w:t>Do hodnotenia je zapojených 62 krajín (</w:t>
      </w:r>
      <w:r w:rsidR="00D071C6">
        <w:rPr>
          <w:rFonts w:ascii="Times New Roman" w:eastAsia="Times New Roman" w:hAnsi="Times New Roman" w:cs="Times New Roman"/>
          <w:sz w:val="24"/>
          <w:szCs w:val="24"/>
        </w:rPr>
        <w:t xml:space="preserve">z toho </w:t>
      </w:r>
      <w:r w:rsidR="00C664FB">
        <w:rPr>
          <w:rFonts w:ascii="Times New Roman" w:eastAsia="Times New Roman" w:hAnsi="Times New Roman" w:cs="Times New Roman"/>
          <w:sz w:val="24"/>
          <w:szCs w:val="24"/>
        </w:rPr>
        <w:t xml:space="preserve">24 európskych). Hodnotenie je založené na prieskume dospelej populácie (telefonický prieskum na vzorke minimálne 2 000 respondentov) a prieskume medzi expertmi. Hodnotenie sa zameriava na správanie jednotlivcov pri začatí či ukončení podnikania. </w:t>
      </w:r>
      <w:r w:rsidR="00C664FB" w:rsidRPr="00931C42">
        <w:rPr>
          <w:rFonts w:ascii="Times New Roman" w:eastAsia="Times New Roman" w:hAnsi="Times New Roman" w:cs="Times New Roman"/>
          <w:sz w:val="24"/>
          <w:szCs w:val="24"/>
        </w:rPr>
        <w:t>Podnikateľské prostredie je rozpracované v podobe komplexného súboru tzv. kľúčových rámcových podmienok na podnikanie</w:t>
      </w:r>
      <w:r w:rsidR="00120456">
        <w:rPr>
          <w:rFonts w:ascii="Times New Roman" w:eastAsia="Times New Roman" w:hAnsi="Times New Roman" w:cs="Times New Roman"/>
          <w:sz w:val="24"/>
          <w:szCs w:val="24"/>
        </w:rPr>
        <w:t xml:space="preserve"> (tabuľka 4.3.1)</w:t>
      </w:r>
      <w:r w:rsidR="00C664FB" w:rsidRPr="00931C42">
        <w:rPr>
          <w:rFonts w:ascii="Times New Roman" w:eastAsia="Times New Roman" w:hAnsi="Times New Roman" w:cs="Times New Roman"/>
          <w:sz w:val="24"/>
          <w:szCs w:val="24"/>
        </w:rPr>
        <w:t>, ktoré predstavujú základný rámec podnikateľského prostredia</w:t>
      </w:r>
      <w:r w:rsidR="00C664FB">
        <w:rPr>
          <w:rFonts w:ascii="Times New Roman" w:eastAsia="Times New Roman" w:hAnsi="Times New Roman" w:cs="Times New Roman"/>
          <w:sz w:val="24"/>
          <w:szCs w:val="24"/>
        </w:rPr>
        <w:t>.</w:t>
      </w:r>
      <w:r w:rsidR="00C664FB" w:rsidRPr="00931C42">
        <w:rPr>
          <w:rFonts w:ascii="Times New Roman" w:eastAsia="Times New Roman" w:hAnsi="Times New Roman" w:cs="Times New Roman"/>
          <w:sz w:val="24"/>
          <w:szCs w:val="24"/>
        </w:rPr>
        <w:t xml:space="preserve"> </w:t>
      </w:r>
    </w:p>
    <w:p w:rsidR="00EF0A03" w:rsidRDefault="00EF0A03" w:rsidP="00C664FB">
      <w:pPr>
        <w:spacing w:after="0" w:line="240" w:lineRule="auto"/>
        <w:jc w:val="both"/>
        <w:rPr>
          <w:rFonts w:ascii="Times New Roman" w:eastAsia="Times New Roman" w:hAnsi="Times New Roman" w:cs="Times New Roman"/>
          <w:sz w:val="24"/>
          <w:szCs w:val="24"/>
        </w:rPr>
      </w:pPr>
    </w:p>
    <w:p w:rsidR="00EF0A03" w:rsidRPr="00931C42" w:rsidRDefault="00EF0A03" w:rsidP="00C664FB">
      <w:pPr>
        <w:spacing w:after="0" w:line="240" w:lineRule="auto"/>
        <w:jc w:val="both"/>
        <w:rPr>
          <w:rFonts w:ascii="Times New Roman" w:eastAsia="Times New Roman" w:hAnsi="Times New Roman" w:cs="Times New Roman"/>
          <w:sz w:val="24"/>
          <w:szCs w:val="24"/>
        </w:rPr>
      </w:pPr>
    </w:p>
    <w:p w:rsidR="00C664FB" w:rsidRPr="00931C42" w:rsidRDefault="00C664FB" w:rsidP="00C664FB">
      <w:pPr>
        <w:spacing w:after="0" w:line="240" w:lineRule="auto"/>
        <w:jc w:val="both"/>
        <w:rPr>
          <w:rFonts w:ascii="Times New Roman" w:eastAsia="Times New Roman" w:hAnsi="Times New Roman" w:cs="Times New Roman"/>
          <w:sz w:val="24"/>
          <w:szCs w:val="24"/>
        </w:rPr>
      </w:pPr>
    </w:p>
    <w:p w:rsidR="00120456" w:rsidRPr="00931C42" w:rsidRDefault="00120456" w:rsidP="00120456">
      <w:pPr>
        <w:spacing w:after="0" w:line="240" w:lineRule="auto"/>
        <w:jc w:val="both"/>
        <w:rPr>
          <w:rFonts w:ascii="Times New Roman" w:eastAsia="Times New Roman" w:hAnsi="Times New Roman" w:cs="Times New Roman"/>
          <w:b/>
          <w:sz w:val="24"/>
          <w:szCs w:val="24"/>
        </w:rPr>
      </w:pPr>
      <w:r w:rsidRPr="00931C42">
        <w:rPr>
          <w:rFonts w:ascii="Times New Roman" w:eastAsia="Times New Roman" w:hAnsi="Times New Roman" w:cs="Times New Roman"/>
          <w:b/>
          <w:sz w:val="24"/>
          <w:szCs w:val="24"/>
        </w:rPr>
        <w:t>Tabuľka 4.3.1 Podmienky na podnikanie hodnotené v GEM 2015</w:t>
      </w:r>
    </w:p>
    <w:tbl>
      <w:tblPr>
        <w:tblW w:w="0" w:type="auto"/>
        <w:tblBorders>
          <w:bottom w:val="single" w:sz="4" w:space="0" w:color="000000" w:themeColor="text1"/>
          <w:insideH w:val="single" w:sz="4" w:space="0" w:color="000000" w:themeColor="text1"/>
        </w:tblBorders>
        <w:tblCellMar>
          <w:top w:w="28" w:type="dxa"/>
          <w:left w:w="28" w:type="dxa"/>
          <w:bottom w:w="28" w:type="dxa"/>
          <w:right w:w="28" w:type="dxa"/>
        </w:tblCellMar>
        <w:tblLook w:val="04A0" w:firstRow="1" w:lastRow="0" w:firstColumn="1" w:lastColumn="0" w:noHBand="0" w:noVBand="1"/>
      </w:tblPr>
      <w:tblGrid>
        <w:gridCol w:w="675"/>
        <w:gridCol w:w="6157"/>
      </w:tblGrid>
      <w:tr w:rsidR="00120456" w:rsidRPr="00931C42" w:rsidTr="00804E7E">
        <w:tc>
          <w:tcPr>
            <w:tcW w:w="675" w:type="dxa"/>
            <w:shd w:val="clear" w:color="auto" w:fill="9BBB59" w:themeFill="accent3"/>
          </w:tcPr>
          <w:p w:rsidR="00120456" w:rsidRPr="00931C42" w:rsidRDefault="00120456" w:rsidP="000564D1">
            <w:pPr>
              <w:spacing w:after="0" w:line="240" w:lineRule="auto"/>
              <w:jc w:val="both"/>
              <w:rPr>
                <w:rFonts w:ascii="Times New Roman" w:eastAsia="Times New Roman" w:hAnsi="Times New Roman" w:cs="Times New Roman"/>
                <w:b/>
                <w:sz w:val="21"/>
                <w:szCs w:val="21"/>
              </w:rPr>
            </w:pPr>
            <w:r w:rsidRPr="00931C42">
              <w:rPr>
                <w:rFonts w:ascii="Times New Roman" w:eastAsia="Times New Roman" w:hAnsi="Times New Roman" w:cs="Times New Roman"/>
                <w:b/>
                <w:sz w:val="21"/>
                <w:szCs w:val="21"/>
              </w:rPr>
              <w:t>Kód</w:t>
            </w:r>
          </w:p>
        </w:tc>
        <w:tc>
          <w:tcPr>
            <w:tcW w:w="6157" w:type="dxa"/>
            <w:shd w:val="clear" w:color="auto" w:fill="9BBB59" w:themeFill="accent3"/>
          </w:tcPr>
          <w:p w:rsidR="00120456" w:rsidRPr="00931C42" w:rsidRDefault="00120456" w:rsidP="000564D1">
            <w:pPr>
              <w:spacing w:after="0" w:line="240" w:lineRule="auto"/>
              <w:jc w:val="center"/>
              <w:rPr>
                <w:rFonts w:ascii="Times New Roman" w:eastAsia="Times New Roman" w:hAnsi="Times New Roman" w:cs="Times New Roman"/>
                <w:b/>
                <w:sz w:val="21"/>
                <w:szCs w:val="21"/>
              </w:rPr>
            </w:pPr>
            <w:r w:rsidRPr="00931C42">
              <w:rPr>
                <w:rFonts w:ascii="Times New Roman" w:eastAsia="Times New Roman" w:hAnsi="Times New Roman" w:cs="Times New Roman"/>
                <w:b/>
                <w:sz w:val="21"/>
                <w:szCs w:val="21"/>
              </w:rPr>
              <w:t>Kľúčové rámcové podmienky na podnikanie</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A</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Financovanie</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B1</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Vládne politiky (konkrétne politiky, priority a podpora)</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B2</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Vládne politiky (byrokracia, dane)</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C</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Vládne programy</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D1</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Vzdelanie (základné a stredné)</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D2</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Vzdelanie (odborné, profesijné, vysokoškolské)</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E</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Transfer V&amp;V</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F</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Prístup ku komerčnej infraštruktúre a infraštruktúre služieb</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G1</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Dynamika trhu</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G2</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Trhové obmedzenia</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H</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Prístup k fyzickej infraštruktúre a službám</w:t>
            </w:r>
          </w:p>
        </w:tc>
      </w:tr>
      <w:tr w:rsidR="00120456" w:rsidRPr="00931C42" w:rsidTr="00804E7E">
        <w:tc>
          <w:tcPr>
            <w:tcW w:w="675" w:type="dxa"/>
            <w:shd w:val="clear" w:color="auto" w:fill="FFFFFF"/>
            <w:vAlign w:val="bottom"/>
          </w:tcPr>
          <w:p w:rsidR="00120456" w:rsidRPr="00931C42" w:rsidRDefault="00120456" w:rsidP="000564D1">
            <w:pPr>
              <w:spacing w:after="0" w:line="240" w:lineRule="auto"/>
              <w:jc w:val="center"/>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I</w:t>
            </w:r>
          </w:p>
        </w:tc>
        <w:tc>
          <w:tcPr>
            <w:tcW w:w="6157" w:type="dxa"/>
            <w:shd w:val="clear" w:color="auto" w:fill="FFFFFF"/>
            <w:vAlign w:val="bottom"/>
          </w:tcPr>
          <w:p w:rsidR="00120456" w:rsidRPr="00931C42" w:rsidRDefault="00120456" w:rsidP="000564D1">
            <w:pPr>
              <w:spacing w:after="0" w:line="240" w:lineRule="auto"/>
              <w:jc w:val="both"/>
              <w:rPr>
                <w:rFonts w:ascii="Times New Roman" w:eastAsia="Times New Roman" w:hAnsi="Times New Roman" w:cs="Times New Roman"/>
                <w:sz w:val="21"/>
                <w:szCs w:val="21"/>
              </w:rPr>
            </w:pPr>
            <w:r w:rsidRPr="00931C42">
              <w:rPr>
                <w:rFonts w:ascii="Times New Roman" w:eastAsia="Times New Roman" w:hAnsi="Times New Roman" w:cs="Times New Roman"/>
                <w:sz w:val="21"/>
                <w:szCs w:val="21"/>
              </w:rPr>
              <w:t>Kultúrne a spoločenské normy</w:t>
            </w:r>
          </w:p>
        </w:tc>
      </w:tr>
    </w:tbl>
    <w:p w:rsidR="00120456" w:rsidRPr="00931C42" w:rsidRDefault="00120456" w:rsidP="00120456">
      <w:pPr>
        <w:spacing w:after="0" w:line="240" w:lineRule="auto"/>
        <w:jc w:val="both"/>
        <w:rPr>
          <w:rFonts w:ascii="Times New Roman" w:eastAsia="Times New Roman" w:hAnsi="Times New Roman" w:cs="Times New Roman"/>
          <w:sz w:val="20"/>
          <w:szCs w:val="20"/>
        </w:rPr>
      </w:pPr>
      <w:r w:rsidRPr="00931C42">
        <w:rPr>
          <w:rFonts w:ascii="Times New Roman" w:eastAsia="Times New Roman" w:hAnsi="Times New Roman" w:cs="Times New Roman"/>
          <w:sz w:val="20"/>
          <w:szCs w:val="20"/>
        </w:rPr>
        <w:t>Zdroj: Dáta GEM 2015, spracovanie Fakulta manažmentu Univerzity Komenského (ďalej „FMUK“)</w:t>
      </w:r>
    </w:p>
    <w:p w:rsidR="00C664FB" w:rsidRPr="00931C42" w:rsidRDefault="00C664FB" w:rsidP="00C664FB">
      <w:pPr>
        <w:spacing w:after="0" w:line="240" w:lineRule="auto"/>
        <w:jc w:val="both"/>
        <w:rPr>
          <w:rFonts w:ascii="Times New Roman" w:eastAsia="Times New Roman" w:hAnsi="Times New Roman" w:cs="Times New Roman"/>
          <w:sz w:val="24"/>
          <w:szCs w:val="24"/>
        </w:rPr>
      </w:pPr>
    </w:p>
    <w:p w:rsidR="00C664FB" w:rsidRPr="00931C42" w:rsidRDefault="00C664FB" w:rsidP="00C664FB">
      <w:pPr>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 xml:space="preserve">Spomedzi 12 hodnotených podmienok </w:t>
      </w:r>
      <w:r>
        <w:rPr>
          <w:rFonts w:ascii="Times New Roman" w:eastAsia="Times New Roman" w:hAnsi="Times New Roman" w:cs="Times New Roman"/>
          <w:sz w:val="24"/>
          <w:szCs w:val="24"/>
        </w:rPr>
        <w:t xml:space="preserve">na podnikanie </w:t>
      </w:r>
      <w:r w:rsidRPr="00931C42">
        <w:rPr>
          <w:rFonts w:ascii="Times New Roman" w:eastAsia="Times New Roman" w:hAnsi="Times New Roman" w:cs="Times New Roman"/>
          <w:sz w:val="24"/>
          <w:szCs w:val="24"/>
        </w:rPr>
        <w:t xml:space="preserve">boli identifikované dve podmienky, ktorých stav experti považujú za </w:t>
      </w:r>
      <w:r>
        <w:rPr>
          <w:rFonts w:ascii="Times New Roman" w:eastAsia="Times New Roman" w:hAnsi="Times New Roman" w:cs="Times New Roman"/>
          <w:sz w:val="24"/>
          <w:szCs w:val="24"/>
        </w:rPr>
        <w:t xml:space="preserve">mimoriadne </w:t>
      </w:r>
      <w:r w:rsidRPr="00931C42">
        <w:rPr>
          <w:rFonts w:ascii="Times New Roman" w:eastAsia="Times New Roman" w:hAnsi="Times New Roman" w:cs="Times New Roman"/>
          <w:sz w:val="24"/>
          <w:szCs w:val="24"/>
        </w:rPr>
        <w:t xml:space="preserve">priaznivý, a to </w:t>
      </w:r>
      <w:r w:rsidRPr="00931C42">
        <w:rPr>
          <w:rFonts w:ascii="Times New Roman" w:eastAsia="Times New Roman" w:hAnsi="Times New Roman" w:cs="Times New Roman"/>
          <w:i/>
          <w:sz w:val="24"/>
          <w:szCs w:val="24"/>
        </w:rPr>
        <w:t>prístup k fyzickej infraštruktúre</w:t>
      </w:r>
      <w:r>
        <w:rPr>
          <w:rFonts w:ascii="Times New Roman" w:eastAsia="Times New Roman" w:hAnsi="Times New Roman" w:cs="Times New Roman"/>
          <w:i/>
          <w:sz w:val="24"/>
          <w:szCs w:val="24"/>
        </w:rPr>
        <w:t xml:space="preserve"> (H)</w:t>
      </w:r>
      <w:r w:rsidRPr="00931C42">
        <w:rPr>
          <w:rFonts w:ascii="Times New Roman" w:eastAsia="Times New Roman" w:hAnsi="Times New Roman" w:cs="Times New Roman"/>
          <w:sz w:val="24"/>
          <w:szCs w:val="24"/>
        </w:rPr>
        <w:t xml:space="preserve"> a </w:t>
      </w:r>
      <w:r w:rsidRPr="00931C42">
        <w:rPr>
          <w:rFonts w:ascii="Times New Roman" w:eastAsia="Times New Roman" w:hAnsi="Times New Roman" w:cs="Times New Roman"/>
          <w:i/>
          <w:sz w:val="24"/>
          <w:szCs w:val="24"/>
        </w:rPr>
        <w:t>prístup ku komerčnej infraštruktúre a službám pre podnikanie</w:t>
      </w:r>
      <w:r>
        <w:rPr>
          <w:rFonts w:ascii="Times New Roman" w:eastAsia="Times New Roman" w:hAnsi="Times New Roman" w:cs="Times New Roman"/>
          <w:i/>
          <w:sz w:val="24"/>
          <w:szCs w:val="24"/>
        </w:rPr>
        <w:t xml:space="preserve"> (F)</w:t>
      </w:r>
      <w:r w:rsidRPr="00931C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Zvyšné podmienky indikovali mierny pokles alebo stagnáciu. </w:t>
      </w:r>
    </w:p>
    <w:p w:rsidR="00C664FB" w:rsidRPr="00931C42" w:rsidRDefault="00C664FB" w:rsidP="00C664FB">
      <w:pPr>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 xml:space="preserve">Najlepšie hodnotenými </w:t>
      </w:r>
      <w:r w:rsidRPr="00B1027B">
        <w:rPr>
          <w:rFonts w:ascii="Times New Roman" w:eastAsia="Times New Roman" w:hAnsi="Times New Roman" w:cs="Times New Roman"/>
          <w:sz w:val="24"/>
          <w:szCs w:val="24"/>
        </w:rPr>
        <w:t>špecifick</w:t>
      </w:r>
      <w:r>
        <w:rPr>
          <w:rFonts w:ascii="Times New Roman" w:eastAsia="Times New Roman" w:hAnsi="Times New Roman" w:cs="Times New Roman"/>
          <w:sz w:val="24"/>
          <w:szCs w:val="24"/>
        </w:rPr>
        <w:t>ými</w:t>
      </w:r>
      <w:r w:rsidRPr="00B1027B">
        <w:rPr>
          <w:rFonts w:ascii="Times New Roman" w:eastAsia="Times New Roman" w:hAnsi="Times New Roman" w:cs="Times New Roman"/>
          <w:sz w:val="24"/>
          <w:szCs w:val="24"/>
        </w:rPr>
        <w:t xml:space="preserve"> oblas</w:t>
      </w:r>
      <w:r>
        <w:rPr>
          <w:rFonts w:ascii="Times New Roman" w:eastAsia="Times New Roman" w:hAnsi="Times New Roman" w:cs="Times New Roman"/>
          <w:sz w:val="24"/>
          <w:szCs w:val="24"/>
        </w:rPr>
        <w:t xml:space="preserve">ťami </w:t>
      </w:r>
      <w:r w:rsidRPr="00931C42">
        <w:rPr>
          <w:rFonts w:ascii="Times New Roman" w:eastAsia="Times New Roman" w:hAnsi="Times New Roman" w:cs="Times New Roman"/>
          <w:sz w:val="24"/>
          <w:szCs w:val="24"/>
        </w:rPr>
        <w:t xml:space="preserve">podnikateľského prostredia na Slovensku sú </w:t>
      </w:r>
      <w:r>
        <w:rPr>
          <w:rFonts w:ascii="Times New Roman" w:eastAsia="Times New Roman" w:hAnsi="Times New Roman" w:cs="Times New Roman"/>
          <w:sz w:val="24"/>
          <w:szCs w:val="24"/>
        </w:rPr>
        <w:t xml:space="preserve">jednotlivé oblasti podmienky </w:t>
      </w:r>
      <w:r w:rsidRPr="00931C42">
        <w:rPr>
          <w:rFonts w:ascii="Times New Roman" w:eastAsia="Times New Roman" w:hAnsi="Times New Roman" w:cs="Times New Roman"/>
          <w:i/>
          <w:sz w:val="24"/>
          <w:szCs w:val="24"/>
        </w:rPr>
        <w:t>prístup</w:t>
      </w:r>
      <w:r>
        <w:rPr>
          <w:rFonts w:ascii="Times New Roman" w:eastAsia="Times New Roman" w:hAnsi="Times New Roman" w:cs="Times New Roman"/>
          <w:i/>
          <w:sz w:val="24"/>
          <w:szCs w:val="24"/>
        </w:rPr>
        <w:t>u</w:t>
      </w:r>
      <w:r w:rsidRPr="00931C42">
        <w:rPr>
          <w:rFonts w:ascii="Times New Roman" w:eastAsia="Times New Roman" w:hAnsi="Times New Roman" w:cs="Times New Roman"/>
          <w:i/>
          <w:sz w:val="24"/>
          <w:szCs w:val="24"/>
        </w:rPr>
        <w:t xml:space="preserve"> k fyzickej infraštruktúre a</w:t>
      </w:r>
      <w:r>
        <w:rPr>
          <w:rFonts w:ascii="Times New Roman" w:eastAsia="Times New Roman" w:hAnsi="Times New Roman" w:cs="Times New Roman"/>
          <w:i/>
          <w:sz w:val="24"/>
          <w:szCs w:val="24"/>
        </w:rPr>
        <w:t> </w:t>
      </w:r>
      <w:r w:rsidRPr="00931C42">
        <w:rPr>
          <w:rFonts w:ascii="Times New Roman" w:eastAsia="Times New Roman" w:hAnsi="Times New Roman" w:cs="Times New Roman"/>
          <w:i/>
          <w:sz w:val="24"/>
          <w:szCs w:val="24"/>
        </w:rPr>
        <w:t>službám</w:t>
      </w:r>
      <w:r>
        <w:rPr>
          <w:rFonts w:ascii="Times New Roman" w:eastAsia="Times New Roman" w:hAnsi="Times New Roman" w:cs="Times New Roman"/>
          <w:i/>
          <w:sz w:val="24"/>
          <w:szCs w:val="24"/>
        </w:rPr>
        <w:t xml:space="preserve"> (H)</w:t>
      </w:r>
      <w:r w:rsidRPr="00931C42">
        <w:rPr>
          <w:rFonts w:ascii="Times New Roman" w:eastAsia="Times New Roman" w:hAnsi="Times New Roman" w:cs="Times New Roman"/>
          <w:sz w:val="24"/>
          <w:szCs w:val="24"/>
        </w:rPr>
        <w:t>, a to aj v </w:t>
      </w:r>
      <w:r>
        <w:rPr>
          <w:rFonts w:ascii="Times New Roman" w:eastAsia="Times New Roman" w:hAnsi="Times New Roman" w:cs="Times New Roman"/>
          <w:sz w:val="24"/>
          <w:szCs w:val="24"/>
        </w:rPr>
        <w:t>porovnaní</w:t>
      </w:r>
      <w:r w:rsidRPr="00931C42">
        <w:rPr>
          <w:rFonts w:ascii="Times New Roman" w:eastAsia="Times New Roman" w:hAnsi="Times New Roman" w:cs="Times New Roman"/>
          <w:sz w:val="24"/>
          <w:szCs w:val="24"/>
        </w:rPr>
        <w:t xml:space="preserve"> 5 ročného obdobia medzi Slovenskom a priemerom </w:t>
      </w:r>
      <w:r>
        <w:rPr>
          <w:rFonts w:ascii="Times New Roman" w:eastAsia="Times New Roman" w:hAnsi="Times New Roman" w:cs="Times New Roman"/>
          <w:sz w:val="24"/>
          <w:szCs w:val="24"/>
        </w:rPr>
        <w:t>eur</w:t>
      </w:r>
      <w:r w:rsidRPr="00931C42">
        <w:rPr>
          <w:rFonts w:ascii="Times New Roman" w:eastAsia="Times New Roman" w:hAnsi="Times New Roman" w:cs="Times New Roman"/>
          <w:sz w:val="24"/>
          <w:szCs w:val="24"/>
        </w:rPr>
        <w:t>ópskych krajín, či najvyspelejších ekonomík. Najviac pozitívne boli expertmi hodnotené</w:t>
      </w:r>
      <w:r>
        <w:rPr>
          <w:rFonts w:ascii="Times New Roman" w:eastAsia="Times New Roman" w:hAnsi="Times New Roman" w:cs="Times New Roman"/>
          <w:sz w:val="24"/>
          <w:szCs w:val="24"/>
        </w:rPr>
        <w:t xml:space="preserve"> š</w:t>
      </w:r>
      <w:r w:rsidRPr="00B1027B">
        <w:rPr>
          <w:rFonts w:ascii="Times New Roman" w:eastAsia="Times New Roman" w:hAnsi="Times New Roman" w:cs="Times New Roman"/>
          <w:sz w:val="24"/>
          <w:szCs w:val="24"/>
        </w:rPr>
        <w:t>pecifick</w:t>
      </w:r>
      <w:r>
        <w:rPr>
          <w:rFonts w:ascii="Times New Roman" w:eastAsia="Times New Roman" w:hAnsi="Times New Roman" w:cs="Times New Roman"/>
          <w:sz w:val="24"/>
          <w:szCs w:val="24"/>
        </w:rPr>
        <w:t>á</w:t>
      </w:r>
      <w:r w:rsidRPr="00B1027B">
        <w:rPr>
          <w:rFonts w:ascii="Times New Roman" w:eastAsia="Times New Roman" w:hAnsi="Times New Roman" w:cs="Times New Roman"/>
          <w:sz w:val="24"/>
          <w:szCs w:val="24"/>
        </w:rPr>
        <w:t xml:space="preserve"> oblas</w:t>
      </w:r>
      <w:r>
        <w:rPr>
          <w:rFonts w:ascii="Times New Roman" w:eastAsia="Times New Roman" w:hAnsi="Times New Roman" w:cs="Times New Roman"/>
          <w:sz w:val="24"/>
          <w:szCs w:val="24"/>
        </w:rPr>
        <w:t>ť</w:t>
      </w:r>
      <w:r w:rsidRPr="00931C42">
        <w:rPr>
          <w:rFonts w:ascii="Times New Roman" w:eastAsia="Times New Roman" w:hAnsi="Times New Roman" w:cs="Times New Roman"/>
          <w:sz w:val="24"/>
          <w:szCs w:val="24"/>
        </w:rPr>
        <w:t xml:space="preserve"> charakterizujúca </w:t>
      </w:r>
      <w:r w:rsidRPr="0069754E">
        <w:rPr>
          <w:rFonts w:ascii="Times New Roman" w:eastAsia="Times New Roman" w:hAnsi="Times New Roman" w:cs="Times New Roman"/>
          <w:i/>
          <w:sz w:val="24"/>
          <w:szCs w:val="24"/>
        </w:rPr>
        <w:t>rýchlosť prístupu podnikateľov ku komunikačným službám</w:t>
      </w:r>
      <w:r>
        <w:rPr>
          <w:rFonts w:ascii="Times New Roman" w:eastAsia="Times New Roman" w:hAnsi="Times New Roman" w:cs="Times New Roman"/>
          <w:i/>
          <w:sz w:val="24"/>
          <w:szCs w:val="24"/>
        </w:rPr>
        <w:t xml:space="preserve"> (H03), </w:t>
      </w:r>
      <w:r w:rsidRPr="0069754E">
        <w:rPr>
          <w:rFonts w:ascii="Times New Roman" w:eastAsia="Times New Roman" w:hAnsi="Times New Roman" w:cs="Times New Roman"/>
          <w:i/>
          <w:sz w:val="24"/>
          <w:szCs w:val="24"/>
        </w:rPr>
        <w:t>cenovú dostupnosť komunik</w:t>
      </w:r>
      <w:r>
        <w:rPr>
          <w:rFonts w:ascii="Times New Roman" w:eastAsia="Times New Roman" w:hAnsi="Times New Roman" w:cs="Times New Roman"/>
          <w:i/>
          <w:sz w:val="24"/>
          <w:szCs w:val="24"/>
        </w:rPr>
        <w:t xml:space="preserve">ácií (H02) a </w:t>
      </w:r>
      <w:r w:rsidRPr="0069754E">
        <w:rPr>
          <w:rFonts w:ascii="Times New Roman" w:eastAsia="Times New Roman" w:hAnsi="Times New Roman" w:cs="Times New Roman"/>
          <w:i/>
          <w:sz w:val="24"/>
          <w:szCs w:val="24"/>
        </w:rPr>
        <w:t>rýchlosť prístupu k energiám a</w:t>
      </w:r>
      <w:r>
        <w:rPr>
          <w:rFonts w:ascii="Times New Roman" w:eastAsia="Times New Roman" w:hAnsi="Times New Roman" w:cs="Times New Roman"/>
          <w:i/>
          <w:sz w:val="24"/>
          <w:szCs w:val="24"/>
        </w:rPr>
        <w:t> </w:t>
      </w:r>
      <w:r w:rsidRPr="0069754E">
        <w:rPr>
          <w:rFonts w:ascii="Times New Roman" w:eastAsia="Times New Roman" w:hAnsi="Times New Roman" w:cs="Times New Roman"/>
          <w:i/>
          <w:sz w:val="24"/>
          <w:szCs w:val="24"/>
        </w:rPr>
        <w:t>službám</w:t>
      </w:r>
      <w:r>
        <w:rPr>
          <w:rFonts w:ascii="Times New Roman" w:eastAsia="Times New Roman" w:hAnsi="Times New Roman" w:cs="Times New Roman"/>
          <w:i/>
          <w:sz w:val="24"/>
          <w:szCs w:val="24"/>
        </w:rPr>
        <w:t xml:space="preserve"> (H05)</w:t>
      </w:r>
      <w:r w:rsidRPr="00931C42">
        <w:rPr>
          <w:rFonts w:ascii="Times New Roman" w:eastAsia="Times New Roman" w:hAnsi="Times New Roman" w:cs="Times New Roman"/>
          <w:sz w:val="24"/>
          <w:szCs w:val="24"/>
        </w:rPr>
        <w:t>.</w:t>
      </w:r>
    </w:p>
    <w:p w:rsidR="00C664FB" w:rsidRPr="00931C42" w:rsidRDefault="00C664FB" w:rsidP="00C664FB">
      <w:pPr>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r>
      <w:r>
        <w:rPr>
          <w:rFonts w:ascii="Times New Roman" w:eastAsia="Times New Roman" w:hAnsi="Times New Roman" w:cs="Times New Roman"/>
          <w:sz w:val="24"/>
          <w:szCs w:val="24"/>
        </w:rPr>
        <w:t>V</w:t>
      </w:r>
      <w:r w:rsidRPr="00931C42">
        <w:rPr>
          <w:rFonts w:ascii="Times New Roman" w:eastAsia="Times New Roman" w:hAnsi="Times New Roman" w:cs="Times New Roman"/>
          <w:sz w:val="24"/>
          <w:szCs w:val="24"/>
        </w:rPr>
        <w:t xml:space="preserve"> rebríčku TOP 10 špecifických oblastí podnikateľského prostredia na Slovensku </w:t>
      </w:r>
      <w:r>
        <w:rPr>
          <w:rFonts w:ascii="Times New Roman" w:eastAsia="Times New Roman" w:hAnsi="Times New Roman" w:cs="Times New Roman"/>
          <w:sz w:val="24"/>
          <w:szCs w:val="24"/>
        </w:rPr>
        <w:t xml:space="preserve">má </w:t>
      </w:r>
      <w:r w:rsidRPr="00931C42">
        <w:rPr>
          <w:rFonts w:ascii="Times New Roman" w:eastAsia="Times New Roman" w:hAnsi="Times New Roman" w:cs="Times New Roman"/>
          <w:sz w:val="24"/>
          <w:szCs w:val="24"/>
        </w:rPr>
        <w:t xml:space="preserve">výrazne zastúpenie aj podmienka charakterizujúca </w:t>
      </w:r>
      <w:r w:rsidRPr="00931C42">
        <w:rPr>
          <w:rFonts w:ascii="Times New Roman" w:eastAsia="Times New Roman" w:hAnsi="Times New Roman" w:cs="Times New Roman"/>
          <w:i/>
          <w:sz w:val="24"/>
          <w:szCs w:val="24"/>
        </w:rPr>
        <w:t>prístup ku komerčnej infraštruktúre a službám pre podnikanie</w:t>
      </w:r>
      <w:r>
        <w:rPr>
          <w:rFonts w:ascii="Times New Roman" w:eastAsia="Times New Roman" w:hAnsi="Times New Roman" w:cs="Times New Roman"/>
          <w:i/>
          <w:sz w:val="24"/>
          <w:szCs w:val="24"/>
        </w:rPr>
        <w:t xml:space="preserve"> (F)</w:t>
      </w:r>
      <w:r w:rsidRPr="00931C42">
        <w:rPr>
          <w:rFonts w:ascii="Times New Roman" w:eastAsia="Times New Roman" w:hAnsi="Times New Roman" w:cs="Times New Roman"/>
          <w:sz w:val="24"/>
          <w:szCs w:val="24"/>
        </w:rPr>
        <w:t xml:space="preserve">. Pozitívne </w:t>
      </w:r>
      <w:r>
        <w:rPr>
          <w:rFonts w:ascii="Times New Roman" w:eastAsia="Times New Roman" w:hAnsi="Times New Roman" w:cs="Times New Roman"/>
          <w:sz w:val="24"/>
          <w:szCs w:val="24"/>
        </w:rPr>
        <w:t>je</w:t>
      </w:r>
      <w:r w:rsidRPr="00931C42">
        <w:rPr>
          <w:rFonts w:ascii="Times New Roman" w:eastAsia="Times New Roman" w:hAnsi="Times New Roman" w:cs="Times New Roman"/>
          <w:sz w:val="24"/>
          <w:szCs w:val="24"/>
        </w:rPr>
        <w:t xml:space="preserve"> vnímaný</w:t>
      </w:r>
      <w:r>
        <w:rPr>
          <w:rFonts w:ascii="Times New Roman" w:eastAsia="Times New Roman" w:hAnsi="Times New Roman" w:cs="Times New Roman"/>
          <w:sz w:val="24"/>
          <w:szCs w:val="24"/>
        </w:rPr>
        <w:t xml:space="preserve"> </w:t>
      </w:r>
      <w:r w:rsidRPr="0069754E">
        <w:rPr>
          <w:rFonts w:ascii="Times New Roman" w:eastAsia="Times New Roman" w:hAnsi="Times New Roman" w:cs="Times New Roman"/>
          <w:i/>
          <w:sz w:val="24"/>
          <w:szCs w:val="24"/>
        </w:rPr>
        <w:t>prístup slovenských podnikateľov k dobrým bankovým službám</w:t>
      </w:r>
      <w:r>
        <w:rPr>
          <w:rFonts w:ascii="Times New Roman" w:eastAsia="Times New Roman" w:hAnsi="Times New Roman" w:cs="Times New Roman"/>
          <w:sz w:val="24"/>
          <w:szCs w:val="24"/>
        </w:rPr>
        <w:t xml:space="preserve"> (F05)</w:t>
      </w:r>
      <w:r w:rsidRPr="00931C42">
        <w:rPr>
          <w:rFonts w:ascii="Times New Roman" w:eastAsia="Times New Roman" w:hAnsi="Times New Roman" w:cs="Times New Roman"/>
          <w:sz w:val="24"/>
          <w:szCs w:val="24"/>
        </w:rPr>
        <w:t xml:space="preserve"> – z 5 ročn</w:t>
      </w:r>
      <w:r>
        <w:rPr>
          <w:rFonts w:ascii="Times New Roman" w:eastAsia="Times New Roman" w:hAnsi="Times New Roman" w:cs="Times New Roman"/>
          <w:sz w:val="24"/>
          <w:szCs w:val="24"/>
        </w:rPr>
        <w:t>ého</w:t>
      </w:r>
      <w:r w:rsidRPr="00931C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porovnania</w:t>
      </w:r>
      <w:r w:rsidRPr="00931C42">
        <w:rPr>
          <w:rFonts w:ascii="Times New Roman" w:eastAsia="Times New Roman" w:hAnsi="Times New Roman" w:cs="Times New Roman"/>
          <w:sz w:val="24"/>
          <w:szCs w:val="24"/>
        </w:rPr>
        <w:t xml:space="preserve"> je SR nad priemerom krajín Európy i najvyspelejších ekonomík sveta</w:t>
      </w:r>
      <w:r>
        <w:rPr>
          <w:rFonts w:ascii="Times New Roman" w:eastAsia="Times New Roman" w:hAnsi="Times New Roman" w:cs="Times New Roman"/>
          <w:sz w:val="24"/>
          <w:szCs w:val="24"/>
        </w:rPr>
        <w:t xml:space="preserve">, </w:t>
      </w:r>
      <w:r w:rsidRPr="0069754E">
        <w:rPr>
          <w:rFonts w:ascii="Times New Roman" w:eastAsia="Times New Roman" w:hAnsi="Times New Roman" w:cs="Times New Roman"/>
          <w:i/>
          <w:sz w:val="24"/>
          <w:szCs w:val="24"/>
        </w:rPr>
        <w:t>prístup k dobrým právnym a účtovníckym službám</w:t>
      </w:r>
      <w:r>
        <w:rPr>
          <w:rFonts w:ascii="Times New Roman" w:eastAsia="Times New Roman" w:hAnsi="Times New Roman" w:cs="Times New Roman"/>
          <w:i/>
          <w:sz w:val="24"/>
          <w:szCs w:val="24"/>
        </w:rPr>
        <w:t xml:space="preserve"> (F04)</w:t>
      </w:r>
      <w:r>
        <w:rPr>
          <w:rFonts w:ascii="Times New Roman" w:eastAsia="Times New Roman" w:hAnsi="Times New Roman" w:cs="Times New Roman"/>
          <w:sz w:val="24"/>
          <w:szCs w:val="24"/>
        </w:rPr>
        <w:t xml:space="preserve"> a  </w:t>
      </w:r>
      <w:r w:rsidRPr="0069754E">
        <w:rPr>
          <w:rFonts w:ascii="Times New Roman" w:eastAsia="Times New Roman" w:hAnsi="Times New Roman" w:cs="Times New Roman"/>
          <w:i/>
          <w:sz w:val="24"/>
          <w:szCs w:val="24"/>
        </w:rPr>
        <w:t>dostatok (</w:t>
      </w:r>
      <w:proofErr w:type="spellStart"/>
      <w:r w:rsidRPr="0069754E">
        <w:rPr>
          <w:rFonts w:ascii="Times New Roman" w:eastAsia="Times New Roman" w:hAnsi="Times New Roman" w:cs="Times New Roman"/>
          <w:i/>
          <w:sz w:val="24"/>
          <w:szCs w:val="24"/>
        </w:rPr>
        <w:t>sub</w:t>
      </w:r>
      <w:proofErr w:type="spellEnd"/>
      <w:r w:rsidRPr="0069754E">
        <w:rPr>
          <w:rFonts w:ascii="Times New Roman" w:eastAsia="Times New Roman" w:hAnsi="Times New Roman" w:cs="Times New Roman"/>
          <w:i/>
          <w:sz w:val="24"/>
          <w:szCs w:val="24"/>
        </w:rPr>
        <w:t>)dodávateľov a konzultantov pre podnikateľov</w:t>
      </w:r>
      <w:r>
        <w:rPr>
          <w:rFonts w:ascii="Times New Roman" w:eastAsia="Times New Roman" w:hAnsi="Times New Roman" w:cs="Times New Roman"/>
          <w:sz w:val="24"/>
          <w:szCs w:val="24"/>
        </w:rPr>
        <w:t xml:space="preserve"> </w:t>
      </w:r>
      <w:r w:rsidRPr="0069754E">
        <w:rPr>
          <w:rFonts w:ascii="Times New Roman" w:eastAsia="Times New Roman" w:hAnsi="Times New Roman" w:cs="Times New Roman"/>
          <w:i/>
          <w:sz w:val="24"/>
          <w:szCs w:val="24"/>
        </w:rPr>
        <w:t>(F01)</w:t>
      </w:r>
      <w:r>
        <w:rPr>
          <w:rFonts w:ascii="Times New Roman" w:eastAsia="Times New Roman" w:hAnsi="Times New Roman" w:cs="Times New Roman"/>
          <w:sz w:val="24"/>
          <w:szCs w:val="24"/>
        </w:rPr>
        <w:t xml:space="preserve"> </w:t>
      </w:r>
      <w:r w:rsidRPr="00931C42">
        <w:rPr>
          <w:rFonts w:ascii="Times New Roman" w:eastAsia="Times New Roman" w:hAnsi="Times New Roman" w:cs="Times New Roman"/>
          <w:sz w:val="24"/>
          <w:szCs w:val="24"/>
        </w:rPr>
        <w:t xml:space="preserve">– avšak z 5 </w:t>
      </w:r>
      <w:r>
        <w:rPr>
          <w:rFonts w:ascii="Times New Roman" w:eastAsia="Times New Roman" w:hAnsi="Times New Roman" w:cs="Times New Roman"/>
          <w:sz w:val="24"/>
          <w:szCs w:val="24"/>
        </w:rPr>
        <w:t>ročného porovnania</w:t>
      </w:r>
      <w:r w:rsidRPr="00931C42">
        <w:rPr>
          <w:rFonts w:ascii="Times New Roman" w:eastAsia="Times New Roman" w:hAnsi="Times New Roman" w:cs="Times New Roman"/>
          <w:sz w:val="24"/>
          <w:szCs w:val="24"/>
        </w:rPr>
        <w:t xml:space="preserve"> Slovensko v tejto oblasti zaostáva za krajinami Európy.</w:t>
      </w:r>
    </w:p>
    <w:p w:rsidR="00C664FB" w:rsidRPr="00931C42" w:rsidRDefault="00C664FB" w:rsidP="00C664FB">
      <w:pPr>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Ďalšími pozitívne hodnotenými sú dve špecifick</w:t>
      </w:r>
      <w:r>
        <w:rPr>
          <w:rFonts w:ascii="Times New Roman" w:eastAsia="Times New Roman" w:hAnsi="Times New Roman" w:cs="Times New Roman"/>
          <w:sz w:val="24"/>
          <w:szCs w:val="24"/>
        </w:rPr>
        <w:t>é</w:t>
      </w:r>
      <w:r w:rsidRPr="00931C42">
        <w:rPr>
          <w:rFonts w:ascii="Times New Roman" w:eastAsia="Times New Roman" w:hAnsi="Times New Roman" w:cs="Times New Roman"/>
          <w:sz w:val="24"/>
          <w:szCs w:val="24"/>
        </w:rPr>
        <w:t xml:space="preserve"> obla</w:t>
      </w:r>
      <w:r>
        <w:rPr>
          <w:rFonts w:ascii="Times New Roman" w:eastAsia="Times New Roman" w:hAnsi="Times New Roman" w:cs="Times New Roman"/>
          <w:sz w:val="24"/>
          <w:szCs w:val="24"/>
        </w:rPr>
        <w:t>sti charakterizujúce</w:t>
      </w:r>
      <w:r w:rsidRPr="00931C42">
        <w:rPr>
          <w:rFonts w:ascii="Times New Roman" w:eastAsia="Times New Roman" w:hAnsi="Times New Roman" w:cs="Times New Roman"/>
          <w:sz w:val="24"/>
          <w:szCs w:val="24"/>
        </w:rPr>
        <w:t xml:space="preserve"> problematiku financovania podnikania</w:t>
      </w:r>
      <w:r>
        <w:rPr>
          <w:rFonts w:ascii="Times New Roman" w:eastAsia="Times New Roman" w:hAnsi="Times New Roman" w:cs="Times New Roman"/>
          <w:sz w:val="24"/>
          <w:szCs w:val="24"/>
        </w:rPr>
        <w:t xml:space="preserve"> </w:t>
      </w:r>
      <w:r w:rsidRPr="00931C42">
        <w:rPr>
          <w:rFonts w:ascii="Times New Roman" w:eastAsia="Times New Roman" w:hAnsi="Times New Roman" w:cs="Times New Roman"/>
          <w:sz w:val="24"/>
          <w:szCs w:val="24"/>
        </w:rPr>
        <w:t xml:space="preserve">hodnotiace </w:t>
      </w:r>
      <w:r w:rsidRPr="0069754E">
        <w:rPr>
          <w:rFonts w:ascii="Times New Roman" w:eastAsia="Times New Roman" w:hAnsi="Times New Roman" w:cs="Times New Roman"/>
          <w:i/>
          <w:sz w:val="24"/>
          <w:szCs w:val="24"/>
        </w:rPr>
        <w:t>prístup k úverovým zdrojom financovania (A02)</w:t>
      </w:r>
      <w:r w:rsidRPr="00931C42">
        <w:rPr>
          <w:rFonts w:ascii="Times New Roman" w:eastAsia="Times New Roman" w:hAnsi="Times New Roman" w:cs="Times New Roman"/>
          <w:sz w:val="24"/>
          <w:szCs w:val="24"/>
        </w:rPr>
        <w:t>, kde priemerné hodnotenie prekračuje priemer krajín Európy i najvyspelejších ekonomík sveta</w:t>
      </w:r>
      <w:r>
        <w:rPr>
          <w:rFonts w:ascii="Times New Roman" w:eastAsia="Times New Roman" w:hAnsi="Times New Roman" w:cs="Times New Roman"/>
          <w:sz w:val="24"/>
          <w:szCs w:val="24"/>
        </w:rPr>
        <w:t xml:space="preserve"> a </w:t>
      </w:r>
      <w:r w:rsidRPr="0069754E">
        <w:rPr>
          <w:rFonts w:ascii="Times New Roman" w:eastAsia="Times New Roman" w:hAnsi="Times New Roman" w:cs="Times New Roman"/>
          <w:i/>
          <w:sz w:val="24"/>
          <w:szCs w:val="24"/>
        </w:rPr>
        <w:t xml:space="preserve">prístup k </w:t>
      </w:r>
      <w:r>
        <w:rPr>
          <w:rFonts w:ascii="Times New Roman" w:eastAsia="Times New Roman" w:hAnsi="Times New Roman" w:cs="Times New Roman"/>
          <w:i/>
          <w:sz w:val="24"/>
          <w:szCs w:val="24"/>
        </w:rPr>
        <w:t>rizikovému</w:t>
      </w:r>
      <w:r w:rsidRPr="0069754E">
        <w:rPr>
          <w:rFonts w:ascii="Times New Roman" w:eastAsia="Times New Roman" w:hAnsi="Times New Roman" w:cs="Times New Roman"/>
          <w:i/>
          <w:sz w:val="24"/>
          <w:szCs w:val="24"/>
        </w:rPr>
        <w:t xml:space="preserve"> kapitálu (A06)</w:t>
      </w:r>
      <w:r w:rsidRPr="00931C42">
        <w:rPr>
          <w:rFonts w:ascii="Times New Roman" w:eastAsia="Times New Roman" w:hAnsi="Times New Roman" w:cs="Times New Roman"/>
          <w:sz w:val="24"/>
          <w:szCs w:val="24"/>
        </w:rPr>
        <w:t xml:space="preserve">, kde sa priemerné hodnotenie vyrovnáva priemernému hodnoteniu krajín Európy i najvyspelejších ekonomík sveta. </w:t>
      </w:r>
    </w:p>
    <w:p w:rsidR="00931C42" w:rsidRPr="00931C42" w:rsidRDefault="00C664FB" w:rsidP="00804E7E">
      <w:pPr>
        <w:spacing w:after="0" w:line="240" w:lineRule="auto"/>
        <w:ind w:firstLine="708"/>
        <w:jc w:val="both"/>
        <w:rPr>
          <w:rFonts w:ascii="Times New Roman" w:hAnsi="Times New Roman" w:cs="Times New Roman"/>
          <w:b/>
          <w:sz w:val="28"/>
          <w:szCs w:val="28"/>
        </w:rPr>
      </w:pPr>
      <w:r w:rsidRPr="00785E3C">
        <w:rPr>
          <w:rFonts w:ascii="Times New Roman" w:eastAsia="Times New Roman" w:hAnsi="Times New Roman" w:cs="Times New Roman"/>
          <w:sz w:val="24"/>
          <w:szCs w:val="24"/>
        </w:rPr>
        <w:t xml:space="preserve">Ďalšiu pozornosť si podľa hodnotenia budú vyžadovať </w:t>
      </w:r>
      <w:r>
        <w:rPr>
          <w:rFonts w:ascii="Times New Roman" w:eastAsia="Times New Roman" w:hAnsi="Times New Roman" w:cs="Times New Roman"/>
          <w:sz w:val="24"/>
          <w:szCs w:val="24"/>
        </w:rPr>
        <w:t xml:space="preserve">predovšetkým </w:t>
      </w:r>
      <w:r w:rsidRPr="00785E3C">
        <w:rPr>
          <w:rFonts w:ascii="Times New Roman" w:eastAsia="Times New Roman" w:hAnsi="Times New Roman" w:cs="Times New Roman"/>
          <w:sz w:val="24"/>
          <w:szCs w:val="24"/>
        </w:rPr>
        <w:t xml:space="preserve">špecifické oblasti </w:t>
      </w:r>
      <w:r w:rsidRPr="0069754E">
        <w:rPr>
          <w:rFonts w:ascii="Times New Roman" w:hAnsi="Times New Roman" w:cs="Times New Roman"/>
          <w:i/>
          <w:sz w:val="24"/>
          <w:szCs w:val="24"/>
        </w:rPr>
        <w:t>vládne dotácie na nové technológi</w:t>
      </w:r>
      <w:r w:rsidRPr="0069754E">
        <w:rPr>
          <w:rFonts w:ascii="Times New Roman" w:hAnsi="Times New Roman" w:cs="Times New Roman"/>
          <w:sz w:val="24"/>
          <w:szCs w:val="24"/>
        </w:rPr>
        <w:t>e</w:t>
      </w:r>
      <w:r>
        <w:rPr>
          <w:rFonts w:ascii="Times New Roman" w:hAnsi="Times New Roman" w:cs="Times New Roman"/>
          <w:sz w:val="24"/>
          <w:szCs w:val="24"/>
        </w:rPr>
        <w:t xml:space="preserve"> (E04), </w:t>
      </w:r>
      <w:r w:rsidRPr="0069754E">
        <w:rPr>
          <w:rFonts w:ascii="Times New Roman" w:eastAsia="Times New Roman" w:hAnsi="Times New Roman" w:cs="Times New Roman"/>
          <w:i/>
          <w:sz w:val="24"/>
          <w:szCs w:val="24"/>
        </w:rPr>
        <w:t>podnikateľské vzdelávanie v základnom a strednom vzdelávaní</w:t>
      </w:r>
      <w:r>
        <w:rPr>
          <w:rFonts w:ascii="Times New Roman" w:eastAsia="Times New Roman" w:hAnsi="Times New Roman" w:cs="Times New Roman"/>
          <w:sz w:val="24"/>
          <w:szCs w:val="24"/>
        </w:rPr>
        <w:t xml:space="preserve"> </w:t>
      </w:r>
      <w:r w:rsidRPr="0069754E">
        <w:rPr>
          <w:rFonts w:ascii="Times New Roman" w:eastAsia="Times New Roman" w:hAnsi="Times New Roman" w:cs="Times New Roman"/>
          <w:i/>
          <w:sz w:val="24"/>
          <w:szCs w:val="24"/>
        </w:rPr>
        <w:t>(D03)</w:t>
      </w:r>
      <w:r>
        <w:rPr>
          <w:rFonts w:ascii="Times New Roman" w:eastAsia="Times New Roman" w:hAnsi="Times New Roman" w:cs="Times New Roman"/>
          <w:i/>
          <w:sz w:val="24"/>
          <w:szCs w:val="24"/>
        </w:rPr>
        <w:t>,</w:t>
      </w:r>
      <w:r w:rsidRPr="0069754E">
        <w:rPr>
          <w:rFonts w:ascii="Times New Roman" w:eastAsia="Times New Roman" w:hAnsi="Times New Roman" w:cs="Times New Roman"/>
          <w:i/>
          <w:sz w:val="24"/>
          <w:szCs w:val="24"/>
        </w:rPr>
        <w:t xml:space="preserve"> podpora podstupovania podnikateľského rizika (I03), prístup k financovaniu cez </w:t>
      </w:r>
      <w:proofErr w:type="spellStart"/>
      <w:r w:rsidRPr="0069754E">
        <w:rPr>
          <w:rFonts w:ascii="Times New Roman" w:eastAsia="Times New Roman" w:hAnsi="Times New Roman" w:cs="Times New Roman"/>
          <w:i/>
          <w:sz w:val="24"/>
          <w:szCs w:val="24"/>
        </w:rPr>
        <w:t>IPOs</w:t>
      </w:r>
      <w:proofErr w:type="spellEnd"/>
      <w:r w:rsidRPr="0069754E">
        <w:rPr>
          <w:rFonts w:ascii="Times New Roman" w:eastAsia="Times New Roman" w:hAnsi="Times New Roman" w:cs="Times New Roman"/>
          <w:i/>
          <w:sz w:val="24"/>
          <w:szCs w:val="24"/>
        </w:rPr>
        <w:t xml:space="preserve"> (A07)</w:t>
      </w:r>
      <w:r>
        <w:rPr>
          <w:rFonts w:ascii="Times New Roman" w:eastAsia="Times New Roman" w:hAnsi="Times New Roman" w:cs="Times New Roman"/>
          <w:sz w:val="24"/>
          <w:szCs w:val="24"/>
        </w:rPr>
        <w:t xml:space="preserve"> a </w:t>
      </w:r>
      <w:r w:rsidRPr="0069754E">
        <w:rPr>
          <w:rFonts w:ascii="Times New Roman" w:eastAsia="Times New Roman" w:hAnsi="Times New Roman" w:cs="Times New Roman"/>
          <w:i/>
          <w:sz w:val="24"/>
          <w:szCs w:val="24"/>
        </w:rPr>
        <w:t>podpora podnikania vo vládnych politikách (B01).</w:t>
      </w:r>
    </w:p>
    <w:p w:rsidR="00804E7E" w:rsidRDefault="00804E7E" w:rsidP="00931C42">
      <w:pPr>
        <w:spacing w:after="0" w:line="240" w:lineRule="auto"/>
        <w:jc w:val="both"/>
        <w:rPr>
          <w:rFonts w:ascii="Times New Roman" w:eastAsia="Times New Roman" w:hAnsi="Times New Roman" w:cs="Times New Roman"/>
          <w:b/>
          <w:color w:val="000000"/>
          <w:sz w:val="24"/>
          <w:szCs w:val="24"/>
        </w:rPr>
      </w:pPr>
    </w:p>
    <w:p w:rsidR="00AC5BC6" w:rsidRPr="00804E7E" w:rsidRDefault="00AC5BC6" w:rsidP="00931C42">
      <w:pPr>
        <w:spacing w:after="0" w:line="240" w:lineRule="auto"/>
        <w:jc w:val="both"/>
        <w:rPr>
          <w:rFonts w:ascii="Times New Roman" w:eastAsia="Times New Roman" w:hAnsi="Times New Roman" w:cs="Times New Roman"/>
          <w:b/>
          <w:color w:val="000000"/>
          <w:sz w:val="24"/>
          <w:szCs w:val="24"/>
        </w:rPr>
      </w:pPr>
      <w:r w:rsidRPr="00804E7E">
        <w:rPr>
          <w:rFonts w:ascii="Times New Roman" w:eastAsia="Times New Roman" w:hAnsi="Times New Roman" w:cs="Times New Roman"/>
          <w:b/>
          <w:color w:val="000000"/>
          <w:sz w:val="24"/>
          <w:szCs w:val="24"/>
        </w:rPr>
        <w:t xml:space="preserve">Prieskum verejnej mienky 2016 medzi európskymi investormi na Slovensku </w:t>
      </w:r>
    </w:p>
    <w:p w:rsidR="00127A5A" w:rsidRPr="00931C42" w:rsidRDefault="00127A5A" w:rsidP="00804E7E">
      <w:pPr>
        <w:spacing w:before="240" w:after="0" w:line="240" w:lineRule="auto"/>
        <w:ind w:firstLine="708"/>
        <w:jc w:val="both"/>
        <w:rPr>
          <w:rFonts w:ascii="Times New Roman" w:eastAsia="Times New Roman" w:hAnsi="Times New Roman" w:cs="Times New Roman"/>
          <w:sz w:val="28"/>
          <w:szCs w:val="24"/>
        </w:rPr>
      </w:pPr>
      <w:r>
        <w:rPr>
          <w:rFonts w:ascii="Times New Roman" w:eastAsia="Times New Roman" w:hAnsi="Times New Roman" w:cs="Times New Roman"/>
          <w:color w:val="000000"/>
          <w:sz w:val="24"/>
          <w:szCs w:val="24"/>
        </w:rPr>
        <w:t>Podľa prieskumu verejnej mienky realizovaného Slovensko-nemeckou obchodnou a priemyselnou komorou medzi 166 európskymi investormi na Slovensku sa v roku 2016 v SR oproti predchádzajúcim hodnoteniam zlepšila politická stabilita, platobná morálka a podmienky pre výskum a vývoj.</w:t>
      </w:r>
    </w:p>
    <w:p w:rsidR="00931C42" w:rsidRPr="00931C42" w:rsidRDefault="00931C42" w:rsidP="00931C42">
      <w:pPr>
        <w:spacing w:after="0" w:line="240" w:lineRule="auto"/>
        <w:jc w:val="both"/>
        <w:rPr>
          <w:rFonts w:ascii="Times New Roman" w:eastAsia="Times New Roman" w:hAnsi="Times New Roman" w:cs="Times New Roman"/>
          <w:sz w:val="28"/>
          <w:szCs w:val="24"/>
        </w:rPr>
      </w:pPr>
    </w:p>
    <w:p w:rsidR="00EA55A5" w:rsidRDefault="00EA55A5" w:rsidP="00147EB4">
      <w:pPr>
        <w:spacing w:after="0" w:line="240" w:lineRule="auto"/>
        <w:jc w:val="both"/>
        <w:rPr>
          <w:rFonts w:ascii="Times New Roman" w:hAnsi="Times New Roman" w:cs="Times New Roman"/>
          <w:b/>
          <w:sz w:val="28"/>
          <w:szCs w:val="24"/>
        </w:rPr>
      </w:pPr>
    </w:p>
    <w:p w:rsidR="00147EB4" w:rsidRPr="00931C42" w:rsidRDefault="00147EB4" w:rsidP="00147EB4">
      <w:pPr>
        <w:spacing w:after="0" w:line="240" w:lineRule="auto"/>
        <w:jc w:val="both"/>
        <w:rPr>
          <w:rFonts w:ascii="Times New Roman" w:hAnsi="Times New Roman" w:cs="Times New Roman"/>
          <w:b/>
          <w:sz w:val="28"/>
          <w:szCs w:val="24"/>
        </w:rPr>
      </w:pPr>
      <w:r w:rsidRPr="00931C42">
        <w:rPr>
          <w:rFonts w:ascii="Times New Roman" w:hAnsi="Times New Roman" w:cs="Times New Roman"/>
          <w:b/>
          <w:sz w:val="28"/>
          <w:szCs w:val="24"/>
        </w:rPr>
        <w:t xml:space="preserve">5. Najvýznamnejšie legislatívne zmeny ovplyvňujúce podnikateľské prostredie </w:t>
      </w:r>
    </w:p>
    <w:p w:rsidR="00147EB4" w:rsidRPr="00931C42" w:rsidRDefault="00147EB4" w:rsidP="00147EB4">
      <w:pPr>
        <w:spacing w:after="0" w:line="240" w:lineRule="auto"/>
        <w:ind w:left="142"/>
        <w:jc w:val="both"/>
        <w:rPr>
          <w:rFonts w:ascii="Times New Roman" w:hAnsi="Times New Roman" w:cs="Times New Roman"/>
          <w:b/>
          <w:sz w:val="28"/>
          <w:szCs w:val="24"/>
        </w:rPr>
      </w:pPr>
    </w:p>
    <w:p w:rsidR="00147EB4" w:rsidRPr="00931C42" w:rsidRDefault="00147EB4" w:rsidP="00147EB4">
      <w:pPr>
        <w:spacing w:after="0" w:line="240" w:lineRule="auto"/>
        <w:ind w:right="-193"/>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 xml:space="preserve">Vláda </w:t>
      </w:r>
      <w:r>
        <w:rPr>
          <w:rFonts w:ascii="Times New Roman" w:eastAsia="Times New Roman" w:hAnsi="Times New Roman" w:cs="Times New Roman"/>
          <w:sz w:val="24"/>
          <w:szCs w:val="24"/>
        </w:rPr>
        <w:t>SR</w:t>
      </w:r>
      <w:r w:rsidRPr="00931C42">
        <w:rPr>
          <w:rFonts w:ascii="Times New Roman" w:eastAsia="Times New Roman" w:hAnsi="Times New Roman" w:cs="Times New Roman"/>
          <w:sz w:val="24"/>
          <w:szCs w:val="24"/>
        </w:rPr>
        <w:t xml:space="preserve"> v súlade s</w:t>
      </w:r>
      <w:r w:rsidR="0046533A">
        <w:rPr>
          <w:rFonts w:ascii="Times New Roman" w:eastAsia="Times New Roman" w:hAnsi="Times New Roman" w:cs="Times New Roman"/>
          <w:sz w:val="24"/>
          <w:szCs w:val="24"/>
        </w:rPr>
        <w:t xml:space="preserve"> P</w:t>
      </w:r>
      <w:r w:rsidRPr="00931C42">
        <w:rPr>
          <w:rFonts w:ascii="Times New Roman" w:eastAsia="Times New Roman" w:hAnsi="Times New Roman" w:cs="Times New Roman"/>
          <w:sz w:val="24"/>
          <w:szCs w:val="24"/>
        </w:rPr>
        <w:t xml:space="preserve">rogramovým vyhlásením </w:t>
      </w:r>
      <w:r w:rsidR="0046533A">
        <w:rPr>
          <w:rFonts w:ascii="Times New Roman" w:eastAsia="Times New Roman" w:hAnsi="Times New Roman" w:cs="Times New Roman"/>
          <w:sz w:val="24"/>
          <w:szCs w:val="24"/>
        </w:rPr>
        <w:t xml:space="preserve">vlády SR na roky 2016 – 2020 (ďalej len „programové vyhlásenie“) </w:t>
      </w:r>
      <w:r w:rsidRPr="00931C42">
        <w:rPr>
          <w:rFonts w:ascii="Times New Roman" w:eastAsia="Times New Roman" w:hAnsi="Times New Roman" w:cs="Times New Roman"/>
          <w:sz w:val="24"/>
          <w:szCs w:val="24"/>
        </w:rPr>
        <w:t xml:space="preserve">vytvára legislatívne prostredie pre efektívnu realizáciu </w:t>
      </w:r>
      <w:r w:rsidR="000F6FCC">
        <w:rPr>
          <w:rFonts w:ascii="Times New Roman" w:eastAsia="Times New Roman" w:hAnsi="Times New Roman" w:cs="Times New Roman"/>
          <w:sz w:val="24"/>
          <w:szCs w:val="24"/>
        </w:rPr>
        <w:t xml:space="preserve">svojich </w:t>
      </w:r>
      <w:r w:rsidR="0046533A">
        <w:rPr>
          <w:rFonts w:ascii="Times New Roman" w:eastAsia="Times New Roman" w:hAnsi="Times New Roman" w:cs="Times New Roman"/>
          <w:sz w:val="24"/>
          <w:szCs w:val="24"/>
        </w:rPr>
        <w:t>priorít a</w:t>
      </w:r>
      <w:r w:rsidR="000F6FCC">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cieľov. Otvoril sa priestor pre ďalší kvalitatívny nárast konkurencieschopnosti a voľného trhu. </w:t>
      </w:r>
    </w:p>
    <w:p w:rsidR="00147EB4" w:rsidRPr="00931C42" w:rsidRDefault="00147EB4" w:rsidP="00147EB4">
      <w:pPr>
        <w:spacing w:after="0" w:line="240" w:lineRule="auto"/>
        <w:ind w:right="-193"/>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V roku 2016 sa každý podnikateľ mohol rozhodnúť, či na evidenciu tržieb bude používať virtuálnu registračnú pokladnic</w:t>
      </w:r>
      <w:r>
        <w:rPr>
          <w:rFonts w:ascii="Times New Roman" w:eastAsia="Times New Roman" w:hAnsi="Times New Roman" w:cs="Times New Roman"/>
          <w:sz w:val="24"/>
          <w:szCs w:val="24"/>
        </w:rPr>
        <w:t>u. Minimálna výška odvodov pre samostatne zárobkovo činné osoby (S</w:t>
      </w:r>
      <w:r w:rsidRPr="00931C42">
        <w:rPr>
          <w:rFonts w:ascii="Times New Roman" w:eastAsia="Times New Roman" w:hAnsi="Times New Roman" w:cs="Times New Roman"/>
          <w:sz w:val="24"/>
          <w:szCs w:val="24"/>
        </w:rPr>
        <w:t>ZČO</w:t>
      </w:r>
      <w:r>
        <w:rPr>
          <w:rFonts w:ascii="Times New Roman" w:eastAsia="Times New Roman" w:hAnsi="Times New Roman" w:cs="Times New Roman"/>
          <w:sz w:val="24"/>
          <w:szCs w:val="24"/>
        </w:rPr>
        <w:t>)</w:t>
      </w:r>
      <w:r w:rsidRPr="00931C42">
        <w:rPr>
          <w:rFonts w:ascii="Times New Roman" w:eastAsia="Times New Roman" w:hAnsi="Times New Roman" w:cs="Times New Roman"/>
          <w:sz w:val="24"/>
          <w:szCs w:val="24"/>
        </w:rPr>
        <w:t xml:space="preserve"> v roku 2016 bola 202,26 €. Významným posunom v roku 2016 bolo zrušenie povinnosti splácať peňažné vklady do základného imania na bankový účet, zrušila sa povinnosť splatiť peňažný vklad na osobitný samostatný bankový účet a prikladať výpis z bankového účtu k</w:t>
      </w:r>
      <w:r>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návrhu na zápis do Obchodného registra. </w:t>
      </w:r>
      <w:r>
        <w:rPr>
          <w:rFonts w:ascii="Times New Roman" w:eastAsia="Times New Roman" w:hAnsi="Times New Roman" w:cs="Times New Roman"/>
          <w:sz w:val="24"/>
          <w:szCs w:val="24"/>
        </w:rPr>
        <w:t>A</w:t>
      </w:r>
      <w:r w:rsidRPr="00931C42">
        <w:rPr>
          <w:rFonts w:ascii="Times New Roman" w:eastAsia="Times New Roman" w:hAnsi="Times New Roman" w:cs="Times New Roman"/>
          <w:sz w:val="24"/>
          <w:szCs w:val="24"/>
        </w:rPr>
        <w:t>utorský zákon</w:t>
      </w:r>
      <w:r>
        <w:rPr>
          <w:rFonts w:ascii="Times New Roman" w:eastAsia="Times New Roman" w:hAnsi="Times New Roman" w:cs="Times New Roman"/>
          <w:sz w:val="24"/>
          <w:szCs w:val="24"/>
        </w:rPr>
        <w:t xml:space="preserve"> č. 185/2015 Z. z. v znení neskorších predpisov</w:t>
      </w:r>
      <w:r w:rsidRPr="00931C42">
        <w:rPr>
          <w:rFonts w:ascii="Times New Roman" w:eastAsia="Times New Roman" w:hAnsi="Times New Roman" w:cs="Times New Roman"/>
          <w:sz w:val="24"/>
          <w:szCs w:val="24"/>
        </w:rPr>
        <w:t xml:space="preserve"> uložil dovozcom a výrobcom elektroniky zaplatiť osobitnú autorskú odmenu. Pri niektorom hmotnom majetku sa daňovník mohol rozhodnúť, že daňové odpisy uplatní na mesačnej báze. Zmeny nastali aj vo vzťahu k</w:t>
      </w:r>
      <w:r>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kontrolnému výkazu DPH.</w:t>
      </w:r>
    </w:p>
    <w:p w:rsidR="00147EB4" w:rsidRPr="00931C42" w:rsidRDefault="00147EB4" w:rsidP="00147EB4">
      <w:pPr>
        <w:spacing w:after="0" w:line="240" w:lineRule="auto"/>
        <w:ind w:right="-193"/>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Počas roka 2016 vláda prijala viaceré materiály ovplyvňujúc</w:t>
      </w:r>
      <w:r>
        <w:rPr>
          <w:rFonts w:ascii="Times New Roman" w:eastAsia="Times New Roman" w:hAnsi="Times New Roman" w:cs="Times New Roman"/>
          <w:sz w:val="24"/>
          <w:szCs w:val="24"/>
        </w:rPr>
        <w:t>e</w:t>
      </w:r>
      <w:r w:rsidRPr="00931C42">
        <w:rPr>
          <w:rFonts w:ascii="Times New Roman" w:eastAsia="Times New Roman" w:hAnsi="Times New Roman" w:cs="Times New Roman"/>
          <w:sz w:val="24"/>
          <w:szCs w:val="24"/>
        </w:rPr>
        <w:t xml:space="preserve"> podnikateľské prostredie </w:t>
      </w:r>
      <w:r>
        <w:rPr>
          <w:rFonts w:ascii="Times New Roman" w:eastAsia="Times New Roman" w:hAnsi="Times New Roman" w:cs="Times New Roman"/>
          <w:sz w:val="24"/>
          <w:szCs w:val="24"/>
        </w:rPr>
        <w:t>SR</w:t>
      </w:r>
      <w:r w:rsidRPr="00931C42">
        <w:rPr>
          <w:rFonts w:ascii="Times New Roman" w:eastAsia="Times New Roman" w:hAnsi="Times New Roman" w:cs="Times New Roman"/>
          <w:sz w:val="24"/>
          <w:szCs w:val="24"/>
        </w:rPr>
        <w:t xml:space="preserve">. Najvýraznejšie zmeny sú uvedené </w:t>
      </w:r>
      <w:r w:rsidR="00D071C6">
        <w:rPr>
          <w:rFonts w:ascii="Times New Roman" w:eastAsia="Times New Roman" w:hAnsi="Times New Roman" w:cs="Times New Roman"/>
          <w:sz w:val="24"/>
          <w:szCs w:val="24"/>
        </w:rPr>
        <w:t>v nasledujúcom texte</w:t>
      </w:r>
      <w:r w:rsidRPr="00931C42">
        <w:rPr>
          <w:rFonts w:ascii="Times New Roman" w:eastAsia="Times New Roman" w:hAnsi="Times New Roman" w:cs="Times New Roman"/>
          <w:sz w:val="24"/>
          <w:szCs w:val="24"/>
        </w:rPr>
        <w:t>.</w:t>
      </w:r>
    </w:p>
    <w:p w:rsidR="00147EB4" w:rsidRPr="00931C42" w:rsidRDefault="00147EB4" w:rsidP="00147EB4">
      <w:pPr>
        <w:spacing w:after="0" w:line="240" w:lineRule="auto"/>
        <w:ind w:right="-193"/>
        <w:contextualSpacing/>
        <w:jc w:val="center"/>
        <w:rPr>
          <w:rFonts w:ascii="Times New Roman" w:eastAsia="Times New Roman" w:hAnsi="Times New Roman" w:cs="Times New Roman"/>
          <w:sz w:val="24"/>
          <w:szCs w:val="24"/>
        </w:rPr>
      </w:pPr>
    </w:p>
    <w:p w:rsidR="00147EB4" w:rsidRPr="00931C42" w:rsidRDefault="00147EB4" w:rsidP="00147EB4">
      <w:pPr>
        <w:spacing w:after="0" w:line="240" w:lineRule="auto"/>
        <w:ind w:right="-193"/>
        <w:jc w:val="both"/>
        <w:rPr>
          <w:rFonts w:ascii="Times New Roman" w:eastAsia="Times New Roman" w:hAnsi="Times New Roman" w:cs="Times New Roman"/>
          <w:b/>
          <w:sz w:val="24"/>
          <w:szCs w:val="24"/>
        </w:rPr>
      </w:pPr>
      <w:r w:rsidRPr="00931C42">
        <w:rPr>
          <w:rFonts w:ascii="Times New Roman" w:eastAsia="Times New Roman" w:hAnsi="Times New Roman" w:cs="Times New Roman"/>
          <w:b/>
          <w:sz w:val="24"/>
          <w:szCs w:val="24"/>
        </w:rPr>
        <w:t>Koncepcia podpory centier podnikových služieb</w:t>
      </w:r>
    </w:p>
    <w:p w:rsidR="00147EB4" w:rsidRPr="00931C42" w:rsidRDefault="00147EB4" w:rsidP="00147EB4">
      <w:pPr>
        <w:spacing w:after="0" w:line="240" w:lineRule="auto"/>
        <w:ind w:right="-194"/>
        <w:jc w:val="both"/>
        <w:rPr>
          <w:rFonts w:ascii="Times New Roman" w:eastAsia="Times New Roman" w:hAnsi="Times New Roman" w:cs="Times New Roman"/>
          <w:b/>
          <w:sz w:val="24"/>
          <w:szCs w:val="24"/>
        </w:rPr>
      </w:pPr>
    </w:p>
    <w:p w:rsidR="00147EB4" w:rsidRPr="00931C42" w:rsidRDefault="00147EB4" w:rsidP="00147EB4">
      <w:pPr>
        <w:spacing w:after="0" w:line="240" w:lineRule="auto"/>
        <w:ind w:right="-193"/>
        <w:contextualSpacing/>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 xml:space="preserve">Vláda </w:t>
      </w:r>
      <w:r>
        <w:rPr>
          <w:rFonts w:ascii="Times New Roman" w:eastAsia="Times New Roman" w:hAnsi="Times New Roman" w:cs="Times New Roman"/>
          <w:sz w:val="24"/>
          <w:szCs w:val="24"/>
        </w:rPr>
        <w:t>SR</w:t>
      </w:r>
      <w:r w:rsidRPr="00931C42">
        <w:rPr>
          <w:rFonts w:ascii="Times New Roman" w:eastAsia="Times New Roman" w:hAnsi="Times New Roman" w:cs="Times New Roman"/>
          <w:sz w:val="24"/>
          <w:szCs w:val="24"/>
        </w:rPr>
        <w:t xml:space="preserve"> sa vo svojom programovom vyhlásení zaviazala podporovať rozvoj centier podnikových služieb v snahe zvyšovať podiel zamestnancov v oblasti služieb s</w:t>
      </w:r>
      <w:r>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vyššou pridanou hodnotou. </w:t>
      </w:r>
      <w:r w:rsidR="00F80ED2">
        <w:rPr>
          <w:rFonts w:ascii="Times New Roman" w:eastAsia="Times New Roman" w:hAnsi="Times New Roman" w:cs="Times New Roman"/>
          <w:sz w:val="24"/>
          <w:szCs w:val="24"/>
        </w:rPr>
        <w:t xml:space="preserve">Koncepcia podpory centier podnikových služieb bola schválená uznesením vlády SR </w:t>
      </w:r>
      <w:r w:rsidR="00F80ED2">
        <w:rPr>
          <w:rFonts w:ascii="Times New Roman" w:eastAsia="Times New Roman" w:hAnsi="Times New Roman" w:cs="Times New Roman"/>
          <w:sz w:val="24"/>
          <w:szCs w:val="24"/>
        </w:rPr>
        <w:br/>
        <w:t xml:space="preserve">č. </w:t>
      </w:r>
      <w:r w:rsidR="00F80ED2" w:rsidRPr="00F80ED2">
        <w:rPr>
          <w:rFonts w:ascii="Times New Roman" w:eastAsia="Times New Roman" w:hAnsi="Times New Roman" w:cs="Times New Roman"/>
          <w:sz w:val="24"/>
          <w:szCs w:val="24"/>
        </w:rPr>
        <w:t>287/2016</w:t>
      </w:r>
      <w:r w:rsidR="00F80ED2">
        <w:rPr>
          <w:rFonts w:ascii="Times New Roman" w:eastAsia="Times New Roman" w:hAnsi="Times New Roman" w:cs="Times New Roman"/>
          <w:sz w:val="24"/>
          <w:szCs w:val="24"/>
        </w:rPr>
        <w:t>.</w:t>
      </w:r>
    </w:p>
    <w:p w:rsidR="00147EB4" w:rsidRPr="00931C42" w:rsidRDefault="00147EB4" w:rsidP="00147EB4">
      <w:pPr>
        <w:spacing w:after="0" w:line="240" w:lineRule="auto"/>
        <w:ind w:right="-193"/>
        <w:contextualSpacing/>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Centrá podnikových služieb sú pobočky zahraničných alebo slovenských firiem, ktoré vykonávajú vnútropodnikové služby pre svoje materské a sesterské spoločnosti alebo pre tretie strany v oblasti financií, technologickej podpory, ľudských zdrojov a ďalších. Koncepcia ich rozvoja má za cieľ udržať a rozvíjať priaznivé podmienky, ktoré motivujú investorov zakladať a</w:t>
      </w:r>
      <w:r w:rsidR="003D4546">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rozširovať tieto centrá na Slovensku. </w:t>
      </w:r>
    </w:p>
    <w:p w:rsidR="00147EB4" w:rsidRPr="00931C42" w:rsidRDefault="00147EB4" w:rsidP="00147EB4">
      <w:pPr>
        <w:spacing w:after="0" w:line="240" w:lineRule="auto"/>
        <w:ind w:right="-193"/>
        <w:contextualSpacing/>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 xml:space="preserve">Majú pozitívny vplyv na odbornú zamestnanosť a kvalifikáciu mladých ľudí. </w:t>
      </w:r>
      <w:r>
        <w:rPr>
          <w:rFonts w:ascii="Times New Roman" w:eastAsia="Times New Roman" w:hAnsi="Times New Roman" w:cs="Times New Roman"/>
          <w:sz w:val="24"/>
          <w:szCs w:val="24"/>
        </w:rPr>
        <w:t>SR</w:t>
      </w:r>
      <w:r w:rsidRPr="00931C42">
        <w:rPr>
          <w:rFonts w:ascii="Times New Roman" w:eastAsia="Times New Roman" w:hAnsi="Times New Roman" w:cs="Times New Roman"/>
          <w:sz w:val="24"/>
          <w:szCs w:val="24"/>
        </w:rPr>
        <w:t xml:space="preserve"> sa vďaka nim stáva krajinou, ktorá má okrem silnej priemyselnej tradície potenciál aj v oblastiach finančníctva, </w:t>
      </w:r>
      <w:r>
        <w:rPr>
          <w:rFonts w:ascii="Times New Roman" w:eastAsia="Times New Roman" w:hAnsi="Times New Roman" w:cs="Times New Roman"/>
          <w:sz w:val="24"/>
          <w:szCs w:val="24"/>
        </w:rPr>
        <w:t>informačných technológií</w:t>
      </w:r>
      <w:r w:rsidRPr="00931C42">
        <w:rPr>
          <w:rFonts w:ascii="Times New Roman" w:eastAsia="Times New Roman" w:hAnsi="Times New Roman" w:cs="Times New Roman"/>
          <w:sz w:val="24"/>
          <w:szCs w:val="24"/>
        </w:rPr>
        <w:t xml:space="preserve"> a inovácií. </w:t>
      </w:r>
    </w:p>
    <w:p w:rsidR="00147EB4" w:rsidRDefault="00147EB4" w:rsidP="00147EB4">
      <w:pPr>
        <w:spacing w:after="0" w:line="240" w:lineRule="auto"/>
        <w:ind w:right="-194"/>
        <w:jc w:val="both"/>
        <w:rPr>
          <w:rFonts w:ascii="Times New Roman" w:eastAsia="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Bezpečnosť a kvalita surovín pre hromadné stravovanie</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Potravinovú bezpečnosť a sebestačnosť možno dosiahnuť aj podporou produkcie a distribúcie slovenských poľnohospodárskych produktov, čo sa vo väčšej miere prejavuje práve pri hromadnom stravovaní vo vzťahu k väčšiemu objemu nakupovaných a spotrebovaných potravín.</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Uznesením č. 168/2016 vláda SR schválila zásady pre zvýšenie bezpečnosti a kvality nakupovaných surovín pre hromadné stravovanie s cieľom, aby inštitúcie podliehajúce ich riadeniu nakupovali slovenské poľnohospodárske výroby a potraviny v rámci svojho stravovania a to pri rešpektovaní platnej legislatívy a pravidiel hospodárskej súťaže.</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Aj keď priame uprednostňovanie slovenských výrobcov nie je v zmysle platnej legislatívy možné, hľadalo sa riešenie vo forme návrhu minimálnych požiadaviek na kvalitu so zámerom zabezpečiť pre hromadné stravovanie čerstvé, kvalitné a hlavne bezpečné potraviny a</w:t>
      </w:r>
      <w:r>
        <w:rPr>
          <w:rFonts w:ascii="Times New Roman" w:hAnsi="Times New Roman" w:cs="Times New Roman"/>
          <w:sz w:val="24"/>
          <w:szCs w:val="24"/>
        </w:rPr>
        <w:t> </w:t>
      </w:r>
      <w:r w:rsidRPr="00931C42">
        <w:rPr>
          <w:rFonts w:ascii="Times New Roman" w:hAnsi="Times New Roman" w:cs="Times New Roman"/>
          <w:sz w:val="24"/>
          <w:szCs w:val="24"/>
        </w:rPr>
        <w:t>suroviny.</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b/>
      </w:r>
      <w:r w:rsidRPr="00931C42">
        <w:rPr>
          <w:rFonts w:ascii="Times New Roman" w:hAnsi="Times New Roman" w:cs="Times New Roman"/>
          <w:i/>
          <w:sz w:val="24"/>
          <w:szCs w:val="24"/>
        </w:rPr>
        <w:t>Náklady regulácie pre podnikateľov sú nulové.</w:t>
      </w:r>
    </w:p>
    <w:p w:rsidR="00D62529" w:rsidRDefault="00D62529" w:rsidP="00147EB4">
      <w:pPr>
        <w:spacing w:after="0" w:line="240" w:lineRule="auto"/>
        <w:jc w:val="both"/>
        <w:rPr>
          <w:rFonts w:ascii="Times New Roman" w:hAnsi="Times New Roman" w:cs="Times New Roman"/>
          <w:b/>
          <w:sz w:val="24"/>
          <w:szCs w:val="24"/>
        </w:rPr>
      </w:pPr>
    </w:p>
    <w:p w:rsidR="00EA55A5" w:rsidRDefault="00EA55A5" w:rsidP="00147EB4">
      <w:pPr>
        <w:spacing w:after="0" w:line="240" w:lineRule="auto"/>
        <w:jc w:val="both"/>
        <w:rPr>
          <w:rFonts w:ascii="Times New Roman" w:hAnsi="Times New Roman" w:cs="Times New Roman"/>
          <w:b/>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lastRenderedPageBreak/>
        <w:t>Smernica o podmienkach vstupu a pobytu štátnych príslušníkov tretích krajín na účel zamestnania ako sezónni pracovníci</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V podmienkach SR bude štátnym príslušníkom tretích krajín na základe zákona </w:t>
      </w:r>
      <w:r>
        <w:rPr>
          <w:rFonts w:ascii="Times New Roman" w:hAnsi="Times New Roman" w:cs="Times New Roman"/>
          <w:sz w:val="24"/>
          <w:szCs w:val="24"/>
        </w:rPr>
        <w:t>č. </w:t>
      </w:r>
      <w:r w:rsidRPr="00931C42">
        <w:rPr>
          <w:rFonts w:ascii="Times New Roman" w:hAnsi="Times New Roman" w:cs="Times New Roman"/>
          <w:sz w:val="24"/>
          <w:szCs w:val="24"/>
        </w:rPr>
        <w:t xml:space="preserve">404/2011 Z. z. o pobyte cudzincov a o zmene a doplnení niektorých zákonov v znení neskorších predpisov umožnené vykonávať sezónne zamestnanie v dvoch režimoch. Prvý režim predpokladá pobyt najviac do 90 dní od príchodu na územie </w:t>
      </w:r>
      <w:r>
        <w:rPr>
          <w:rFonts w:ascii="Times New Roman" w:hAnsi="Times New Roman" w:cs="Times New Roman"/>
          <w:sz w:val="24"/>
          <w:szCs w:val="24"/>
        </w:rPr>
        <w:t>SR</w:t>
      </w:r>
      <w:r w:rsidRPr="00931C42">
        <w:rPr>
          <w:rFonts w:ascii="Times New Roman" w:hAnsi="Times New Roman" w:cs="Times New Roman"/>
          <w:sz w:val="24"/>
          <w:szCs w:val="24"/>
        </w:rPr>
        <w:t xml:space="preserve">, a to na základe udeleného </w:t>
      </w:r>
      <w:proofErr w:type="spellStart"/>
      <w:r w:rsidRPr="00931C42">
        <w:rPr>
          <w:rFonts w:ascii="Times New Roman" w:hAnsi="Times New Roman" w:cs="Times New Roman"/>
          <w:sz w:val="24"/>
          <w:szCs w:val="24"/>
        </w:rPr>
        <w:t>schengenského</w:t>
      </w:r>
      <w:proofErr w:type="spellEnd"/>
      <w:r w:rsidRPr="00931C42">
        <w:rPr>
          <w:rFonts w:ascii="Times New Roman" w:hAnsi="Times New Roman" w:cs="Times New Roman"/>
          <w:sz w:val="24"/>
          <w:szCs w:val="24"/>
        </w:rPr>
        <w:t xml:space="preserve"> víza a povolenia na zamestnanie, resp. len na základe povolenia na zamestnanie v</w:t>
      </w:r>
      <w:r>
        <w:rPr>
          <w:rFonts w:ascii="Times New Roman" w:hAnsi="Times New Roman" w:cs="Times New Roman"/>
          <w:sz w:val="24"/>
          <w:szCs w:val="24"/>
        </w:rPr>
        <w:t> </w:t>
      </w:r>
      <w:r w:rsidRPr="00931C42">
        <w:rPr>
          <w:rFonts w:ascii="Times New Roman" w:hAnsi="Times New Roman" w:cs="Times New Roman"/>
          <w:sz w:val="24"/>
          <w:szCs w:val="24"/>
        </w:rPr>
        <w:t xml:space="preserve">prípadoch, kedy ide o štátneho príslušníka tretej krajiny, ktorý nepodlieha vízovej povinnosti. </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Zmeny sa dotýkajú najmä pravidiel pri overovaní pozvania, zrýchľuje sa konanie o</w:t>
      </w:r>
      <w:r>
        <w:rPr>
          <w:rFonts w:ascii="Times New Roman" w:hAnsi="Times New Roman" w:cs="Times New Roman"/>
          <w:sz w:val="24"/>
          <w:szCs w:val="24"/>
        </w:rPr>
        <w:t> </w:t>
      </w:r>
      <w:r w:rsidRPr="00931C42">
        <w:rPr>
          <w:rFonts w:ascii="Times New Roman" w:hAnsi="Times New Roman" w:cs="Times New Roman"/>
          <w:sz w:val="24"/>
          <w:szCs w:val="24"/>
        </w:rPr>
        <w:t>udelení prechodného pobytu pre špecifické kategórie štátnych príslušníkov tretích krajín, ktorí zastupujú alebo pracujú pre centrum strategických služieb a ich rodinných príslušníkov alebo štátnych príslušníkov tretích krajín, ktorí budú na základe podnikateľského zámeru realizovať v</w:t>
      </w:r>
      <w:r>
        <w:rPr>
          <w:rFonts w:ascii="Times New Roman" w:hAnsi="Times New Roman" w:cs="Times New Roman"/>
          <w:sz w:val="24"/>
          <w:szCs w:val="24"/>
        </w:rPr>
        <w:t> SR</w:t>
      </w:r>
      <w:r w:rsidRPr="00931C42">
        <w:rPr>
          <w:rFonts w:ascii="Times New Roman" w:hAnsi="Times New Roman" w:cs="Times New Roman"/>
          <w:sz w:val="24"/>
          <w:szCs w:val="24"/>
        </w:rPr>
        <w:t xml:space="preserve"> inovatívny projekt a s cieľom zefektívniť konanie sa jednoznačnejšie definujú niektoré procedurálne postupy policajného útvaru. </w:t>
      </w:r>
    </w:p>
    <w:p w:rsidR="00147EB4" w:rsidRDefault="00147EB4" w:rsidP="00147EB4">
      <w:pPr>
        <w:spacing w:after="0" w:line="240" w:lineRule="auto"/>
        <w:ind w:right="-194"/>
        <w:jc w:val="both"/>
        <w:rPr>
          <w:rFonts w:ascii="Times New Roman" w:eastAsia="Times New Roman" w:hAnsi="Times New Roman" w:cs="Times New Roman"/>
          <w:i/>
          <w:sz w:val="24"/>
          <w:szCs w:val="24"/>
        </w:rPr>
      </w:pPr>
    </w:p>
    <w:p w:rsidR="00147EB4" w:rsidRPr="00931C42" w:rsidRDefault="00147EB4" w:rsidP="00147EB4">
      <w:pPr>
        <w:spacing w:after="0" w:line="240" w:lineRule="auto"/>
        <w:ind w:right="-19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b/>
      </w:r>
      <w:r w:rsidRPr="00931C42">
        <w:rPr>
          <w:rFonts w:ascii="Times New Roman" w:eastAsia="Times New Roman" w:hAnsi="Times New Roman" w:cs="Times New Roman"/>
          <w:i/>
          <w:sz w:val="24"/>
          <w:szCs w:val="24"/>
        </w:rPr>
        <w:t>Náklady regulácie neuvedené.</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Novela zákona o spotrebiteľských úveroch</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Spotrebiteľské úvery tvoria významný podiel na celkovom poskytovaní úverov v rámci ekonomiky SR. V oblasti spotrebiteľských úverov je aktuálne zaznamenaný  ich vysoký nárast. </w:t>
      </w:r>
      <w:r>
        <w:rPr>
          <w:rFonts w:ascii="Times New Roman" w:hAnsi="Times New Roman" w:cs="Times New Roman"/>
          <w:sz w:val="24"/>
          <w:szCs w:val="24"/>
        </w:rPr>
        <w:t xml:space="preserve">Národná rada Slovenskej republiky </w:t>
      </w:r>
      <w:r w:rsidR="007A3141">
        <w:rPr>
          <w:rFonts w:ascii="Times New Roman" w:hAnsi="Times New Roman" w:cs="Times New Roman"/>
          <w:sz w:val="24"/>
          <w:szCs w:val="24"/>
        </w:rPr>
        <w:t xml:space="preserve">(ďalej len „NR SR“) </w:t>
      </w:r>
      <w:r>
        <w:rPr>
          <w:rFonts w:ascii="Times New Roman" w:hAnsi="Times New Roman" w:cs="Times New Roman"/>
          <w:sz w:val="24"/>
          <w:szCs w:val="24"/>
        </w:rPr>
        <w:t xml:space="preserve">v októbri 2016 schválila novelu </w:t>
      </w:r>
      <w:r w:rsidR="007F3E08">
        <w:rPr>
          <w:rFonts w:ascii="Times New Roman" w:hAnsi="Times New Roman" w:cs="Times New Roman"/>
          <w:sz w:val="24"/>
          <w:szCs w:val="24"/>
        </w:rPr>
        <w:t>z</w:t>
      </w:r>
      <w:r>
        <w:rPr>
          <w:rFonts w:ascii="Times New Roman" w:hAnsi="Times New Roman" w:cs="Times New Roman"/>
          <w:sz w:val="24"/>
          <w:szCs w:val="24"/>
        </w:rPr>
        <w:t xml:space="preserve">ákona č. 129/2010 Z. z. </w:t>
      </w:r>
      <w:r w:rsidRPr="009B5881">
        <w:rPr>
          <w:rFonts w:ascii="Times New Roman" w:hAnsi="Times New Roman" w:cs="Times New Roman"/>
          <w:sz w:val="24"/>
          <w:szCs w:val="24"/>
        </w:rPr>
        <w:t>o</w:t>
      </w:r>
      <w:r w:rsidR="00BA6C1D">
        <w:rPr>
          <w:rFonts w:ascii="Times New Roman" w:hAnsi="Times New Roman" w:cs="Times New Roman"/>
          <w:sz w:val="24"/>
          <w:szCs w:val="24"/>
        </w:rPr>
        <w:t> </w:t>
      </w:r>
      <w:r w:rsidRPr="009B5881">
        <w:rPr>
          <w:rFonts w:ascii="Times New Roman" w:hAnsi="Times New Roman" w:cs="Times New Roman"/>
          <w:sz w:val="24"/>
          <w:szCs w:val="24"/>
        </w:rPr>
        <w:t>spotrebiteľských úveroch a o iných úveroch a pôžičkách pre spotrebiteľov a</w:t>
      </w:r>
      <w:r w:rsidR="000F6FCC">
        <w:rPr>
          <w:rFonts w:ascii="Times New Roman" w:hAnsi="Times New Roman" w:cs="Times New Roman"/>
          <w:sz w:val="24"/>
          <w:szCs w:val="24"/>
        </w:rPr>
        <w:t> </w:t>
      </w:r>
      <w:r w:rsidRPr="009B5881">
        <w:rPr>
          <w:rFonts w:ascii="Times New Roman" w:hAnsi="Times New Roman" w:cs="Times New Roman"/>
          <w:sz w:val="24"/>
          <w:szCs w:val="24"/>
        </w:rPr>
        <w:t>o</w:t>
      </w:r>
      <w:r w:rsidR="000F6FCC">
        <w:rPr>
          <w:rFonts w:ascii="Times New Roman" w:hAnsi="Times New Roman" w:cs="Times New Roman"/>
          <w:sz w:val="24"/>
          <w:szCs w:val="24"/>
        </w:rPr>
        <w:t> </w:t>
      </w:r>
      <w:r w:rsidRPr="009B5881">
        <w:rPr>
          <w:rFonts w:ascii="Times New Roman" w:hAnsi="Times New Roman" w:cs="Times New Roman"/>
          <w:sz w:val="24"/>
          <w:szCs w:val="24"/>
        </w:rPr>
        <w:t>zmene a doplnení niektorých zákonov</w:t>
      </w:r>
      <w:r w:rsidR="007F3E08">
        <w:rPr>
          <w:rFonts w:ascii="Times New Roman" w:hAnsi="Times New Roman" w:cs="Times New Roman"/>
          <w:sz w:val="24"/>
          <w:szCs w:val="24"/>
        </w:rPr>
        <w:t xml:space="preserve"> (ďalej len „</w:t>
      </w:r>
      <w:r w:rsidR="00D62529">
        <w:rPr>
          <w:rFonts w:ascii="Times New Roman" w:hAnsi="Times New Roman" w:cs="Times New Roman"/>
          <w:sz w:val="24"/>
          <w:szCs w:val="24"/>
        </w:rPr>
        <w:t xml:space="preserve">novela </w:t>
      </w:r>
      <w:r w:rsidR="007F3E08">
        <w:rPr>
          <w:rFonts w:ascii="Times New Roman" w:hAnsi="Times New Roman" w:cs="Times New Roman"/>
          <w:sz w:val="24"/>
          <w:szCs w:val="24"/>
        </w:rPr>
        <w:t>zákon</w:t>
      </w:r>
      <w:r w:rsidR="00D62529">
        <w:rPr>
          <w:rFonts w:ascii="Times New Roman" w:hAnsi="Times New Roman" w:cs="Times New Roman"/>
          <w:sz w:val="24"/>
          <w:szCs w:val="24"/>
        </w:rPr>
        <w:t>a</w:t>
      </w:r>
      <w:r w:rsidR="007F3E08">
        <w:rPr>
          <w:rFonts w:ascii="Times New Roman" w:hAnsi="Times New Roman" w:cs="Times New Roman"/>
          <w:sz w:val="24"/>
          <w:szCs w:val="24"/>
        </w:rPr>
        <w:t xml:space="preserve"> o </w:t>
      </w:r>
      <w:r w:rsidR="007F3E08" w:rsidRPr="009B5881">
        <w:rPr>
          <w:rFonts w:ascii="Times New Roman" w:hAnsi="Times New Roman" w:cs="Times New Roman"/>
          <w:sz w:val="24"/>
          <w:szCs w:val="24"/>
        </w:rPr>
        <w:t>spotrebiteľských úveroch</w:t>
      </w:r>
      <w:r w:rsidR="007F3E08">
        <w:rPr>
          <w:rFonts w:ascii="Times New Roman" w:hAnsi="Times New Roman" w:cs="Times New Roman"/>
          <w:sz w:val="24"/>
          <w:szCs w:val="24"/>
        </w:rPr>
        <w:t>“)</w:t>
      </w:r>
      <w:r>
        <w:rPr>
          <w:rFonts w:ascii="Times New Roman" w:hAnsi="Times New Roman" w:cs="Times New Roman"/>
          <w:sz w:val="24"/>
          <w:szCs w:val="24"/>
        </w:rPr>
        <w:t xml:space="preserve">. </w:t>
      </w:r>
      <w:r w:rsidRPr="00931C42">
        <w:rPr>
          <w:rFonts w:ascii="Times New Roman" w:hAnsi="Times New Roman" w:cs="Times New Roman"/>
          <w:sz w:val="24"/>
          <w:szCs w:val="24"/>
        </w:rPr>
        <w:t xml:space="preserve">Zámerom </w:t>
      </w:r>
      <w:r w:rsidR="00D62529">
        <w:rPr>
          <w:rFonts w:ascii="Times New Roman" w:hAnsi="Times New Roman" w:cs="Times New Roman"/>
          <w:sz w:val="24"/>
          <w:szCs w:val="24"/>
        </w:rPr>
        <w:t xml:space="preserve">tejto </w:t>
      </w:r>
      <w:r>
        <w:rPr>
          <w:rFonts w:ascii="Times New Roman" w:hAnsi="Times New Roman" w:cs="Times New Roman"/>
          <w:sz w:val="24"/>
          <w:szCs w:val="24"/>
        </w:rPr>
        <w:t xml:space="preserve">novely </w:t>
      </w:r>
      <w:r w:rsidRPr="00931C42">
        <w:rPr>
          <w:rFonts w:ascii="Times New Roman" w:hAnsi="Times New Roman" w:cs="Times New Roman"/>
          <w:sz w:val="24"/>
          <w:szCs w:val="24"/>
        </w:rPr>
        <w:t xml:space="preserve">zákona </w:t>
      </w:r>
      <w:r>
        <w:rPr>
          <w:rFonts w:ascii="Times New Roman" w:hAnsi="Times New Roman" w:cs="Times New Roman"/>
          <w:sz w:val="24"/>
          <w:szCs w:val="24"/>
        </w:rPr>
        <w:t>j</w:t>
      </w:r>
      <w:r w:rsidRPr="00931C42">
        <w:rPr>
          <w:rFonts w:ascii="Times New Roman" w:hAnsi="Times New Roman" w:cs="Times New Roman"/>
          <w:sz w:val="24"/>
          <w:szCs w:val="24"/>
        </w:rPr>
        <w:t>e vypracovať minimálny okruh požiadaviek za účelom obozretného poskytovania spotrebiteľských úverov veriteľmi a zohľadniť vzniknuté nedostatky vyplývajúce z aplikačnej praxe v tejto oblasti.</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Pr>
          <w:rFonts w:ascii="Times New Roman" w:hAnsi="Times New Roman" w:cs="Times New Roman"/>
          <w:sz w:val="24"/>
          <w:szCs w:val="24"/>
        </w:rPr>
        <w:t xml:space="preserve">Novela zákona </w:t>
      </w:r>
      <w:r w:rsidR="007F3E08">
        <w:rPr>
          <w:rFonts w:ascii="Times New Roman" w:hAnsi="Times New Roman" w:cs="Times New Roman"/>
          <w:sz w:val="24"/>
          <w:szCs w:val="24"/>
        </w:rPr>
        <w:t xml:space="preserve">o </w:t>
      </w:r>
      <w:r w:rsidR="007F3E08" w:rsidRPr="009B5881">
        <w:rPr>
          <w:rFonts w:ascii="Times New Roman" w:hAnsi="Times New Roman" w:cs="Times New Roman"/>
          <w:sz w:val="24"/>
          <w:szCs w:val="24"/>
        </w:rPr>
        <w:t xml:space="preserve">spotrebiteľských úveroch </w:t>
      </w:r>
      <w:r w:rsidRPr="00931C42">
        <w:rPr>
          <w:rFonts w:ascii="Times New Roman" w:hAnsi="Times New Roman" w:cs="Times New Roman"/>
          <w:sz w:val="24"/>
          <w:szCs w:val="24"/>
        </w:rPr>
        <w:t>obsahuje predovšetkým špecifikáciu obozretných zásad pre poskytovanie spotrebiteľských úverov v oblasti stanovenia a dodržiavania limitov pre ukazovateľ schopnosti spotrebiteľa splácať spotrebiteľské úvery, overovania príjmov spotrebiteľa, obozretného stanovenia, dodržiavania limitov a pravidiel pre maximálnu splatnosť a spôsob splácania spotrebiteľského úveru a špecifikáciu obozretných pravidiel pre poskytovanie spotrebiteľských úverov prostredníctvom finančných sprostredkovateľov</w:t>
      </w:r>
      <w:r w:rsidR="00D62529">
        <w:rPr>
          <w:rFonts w:ascii="Times New Roman" w:hAnsi="Times New Roman" w:cs="Times New Roman"/>
          <w:sz w:val="24"/>
          <w:szCs w:val="24"/>
        </w:rPr>
        <w:t xml:space="preserve">. </w:t>
      </w:r>
      <w:r w:rsidR="00D071C6">
        <w:rPr>
          <w:rFonts w:ascii="Times New Roman" w:hAnsi="Times New Roman" w:cs="Times New Roman"/>
          <w:sz w:val="24"/>
          <w:szCs w:val="24"/>
        </w:rPr>
        <w:t>Novela n</w:t>
      </w:r>
      <w:r w:rsidRPr="00931C42">
        <w:rPr>
          <w:rFonts w:ascii="Times New Roman" w:hAnsi="Times New Roman" w:cs="Times New Roman"/>
          <w:sz w:val="24"/>
          <w:szCs w:val="24"/>
        </w:rPr>
        <w:t>adobudne účinnosť 01. 01. 2017.</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 xml:space="preserve"> </w:t>
      </w:r>
    </w:p>
    <w:p w:rsidR="00147EB4" w:rsidRPr="00931C42" w:rsidRDefault="00147EB4" w:rsidP="00147EB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b/>
      </w:r>
      <w:r w:rsidRPr="00931C42">
        <w:rPr>
          <w:rFonts w:ascii="Times New Roman" w:hAnsi="Times New Roman" w:cs="Times New Roman"/>
          <w:i/>
          <w:sz w:val="24"/>
          <w:szCs w:val="24"/>
        </w:rPr>
        <w:t>Celkové náklady podľa doložky vplyvov na jedného veľkého podnikateľa sa</w:t>
      </w:r>
      <w:r>
        <w:rPr>
          <w:rFonts w:ascii="Times New Roman" w:hAnsi="Times New Roman" w:cs="Times New Roman"/>
          <w:i/>
          <w:sz w:val="24"/>
          <w:szCs w:val="24"/>
        </w:rPr>
        <w:t xml:space="preserve"> odhadujú vo výške 2 064,01 € a</w:t>
      </w:r>
      <w:r w:rsidRPr="00931C42">
        <w:rPr>
          <w:rFonts w:ascii="Times New Roman" w:hAnsi="Times New Roman" w:cs="Times New Roman"/>
          <w:i/>
          <w:sz w:val="24"/>
          <w:szCs w:val="24"/>
        </w:rPr>
        <w:t xml:space="preserve"> na jedného MSP 1 169,98 € (za predpokladu 8-hodinového pracovného času a</w:t>
      </w:r>
      <w:r>
        <w:rPr>
          <w:rFonts w:ascii="Times New Roman" w:hAnsi="Times New Roman" w:cs="Times New Roman"/>
          <w:i/>
          <w:sz w:val="24"/>
          <w:szCs w:val="24"/>
        </w:rPr>
        <w:t> </w:t>
      </w:r>
      <w:r w:rsidRPr="00931C42">
        <w:rPr>
          <w:rFonts w:ascii="Times New Roman" w:hAnsi="Times New Roman" w:cs="Times New Roman"/>
          <w:i/>
          <w:sz w:val="24"/>
          <w:szCs w:val="24"/>
        </w:rPr>
        <w:t>20</w:t>
      </w:r>
      <w:r>
        <w:rPr>
          <w:rFonts w:ascii="Times New Roman" w:hAnsi="Times New Roman" w:cs="Times New Roman"/>
          <w:i/>
          <w:sz w:val="24"/>
          <w:szCs w:val="24"/>
        </w:rPr>
        <w:t> pracovných dní v</w:t>
      </w:r>
      <w:r w:rsidRPr="00931C42">
        <w:rPr>
          <w:rFonts w:ascii="Times New Roman" w:hAnsi="Times New Roman" w:cs="Times New Roman"/>
          <w:i/>
          <w:sz w:val="24"/>
          <w:szCs w:val="24"/>
        </w:rPr>
        <w:t xml:space="preserve"> mesiaci). Celkové náklady sa odhadujú vo výške 62 207,35 €.</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 xml:space="preserve">Novela </w:t>
      </w:r>
      <w:r>
        <w:rPr>
          <w:rFonts w:ascii="Times New Roman" w:hAnsi="Times New Roman" w:cs="Times New Roman"/>
          <w:b/>
          <w:sz w:val="24"/>
          <w:szCs w:val="24"/>
        </w:rPr>
        <w:t>E</w:t>
      </w:r>
      <w:r w:rsidRPr="00931C42">
        <w:rPr>
          <w:rFonts w:ascii="Times New Roman" w:hAnsi="Times New Roman" w:cs="Times New Roman"/>
          <w:b/>
          <w:sz w:val="24"/>
          <w:szCs w:val="24"/>
        </w:rPr>
        <w:t>xekučného poriadku</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sidR="007F3E08">
        <w:rPr>
          <w:rFonts w:ascii="Times New Roman" w:hAnsi="Times New Roman" w:cs="Times New Roman"/>
          <w:sz w:val="24"/>
          <w:szCs w:val="24"/>
        </w:rPr>
        <w:t>NR</w:t>
      </w:r>
      <w:r>
        <w:rPr>
          <w:rFonts w:ascii="Times New Roman" w:hAnsi="Times New Roman" w:cs="Times New Roman"/>
          <w:sz w:val="24"/>
          <w:szCs w:val="24"/>
        </w:rPr>
        <w:t xml:space="preserve"> </w:t>
      </w:r>
      <w:r w:rsidR="0062015D">
        <w:rPr>
          <w:rFonts w:ascii="Times New Roman" w:hAnsi="Times New Roman" w:cs="Times New Roman"/>
          <w:sz w:val="24"/>
          <w:szCs w:val="24"/>
        </w:rPr>
        <w:t>SR</w:t>
      </w:r>
      <w:r>
        <w:rPr>
          <w:rFonts w:ascii="Times New Roman" w:hAnsi="Times New Roman" w:cs="Times New Roman"/>
          <w:sz w:val="24"/>
          <w:szCs w:val="24"/>
        </w:rPr>
        <w:t xml:space="preserve"> 29. 11. 2016 schválila novelu</w:t>
      </w:r>
      <w:r w:rsidRPr="00931C42">
        <w:rPr>
          <w:rFonts w:ascii="Times New Roman" w:hAnsi="Times New Roman" w:cs="Times New Roman"/>
          <w:sz w:val="24"/>
          <w:szCs w:val="24"/>
        </w:rPr>
        <w:t xml:space="preserve"> </w:t>
      </w:r>
      <w:r w:rsidR="007F3E08">
        <w:rPr>
          <w:rFonts w:ascii="Times New Roman" w:hAnsi="Times New Roman" w:cs="Times New Roman"/>
          <w:sz w:val="24"/>
          <w:szCs w:val="24"/>
        </w:rPr>
        <w:t>z</w:t>
      </w:r>
      <w:r w:rsidR="007F3E08" w:rsidRPr="00287F59">
        <w:rPr>
          <w:rFonts w:ascii="Times New Roman" w:hAnsi="Times New Roman" w:cs="Times New Roman"/>
          <w:sz w:val="24"/>
          <w:szCs w:val="24"/>
        </w:rPr>
        <w:t>ákon</w:t>
      </w:r>
      <w:r w:rsidR="007F3E08">
        <w:rPr>
          <w:rFonts w:ascii="Times New Roman" w:hAnsi="Times New Roman" w:cs="Times New Roman"/>
          <w:sz w:val="24"/>
          <w:szCs w:val="24"/>
        </w:rPr>
        <w:t>a</w:t>
      </w:r>
      <w:r w:rsidR="007F3E08" w:rsidRPr="00287F59">
        <w:rPr>
          <w:rFonts w:ascii="Times New Roman" w:hAnsi="Times New Roman" w:cs="Times New Roman"/>
          <w:sz w:val="24"/>
          <w:szCs w:val="24"/>
        </w:rPr>
        <w:t xml:space="preserve"> </w:t>
      </w:r>
      <w:r w:rsidR="00D2712C">
        <w:rPr>
          <w:rFonts w:ascii="Times New Roman" w:hAnsi="Times New Roman" w:cs="Times New Roman"/>
          <w:sz w:val="24"/>
          <w:szCs w:val="24"/>
        </w:rPr>
        <w:t xml:space="preserve">č. 233/1995 Zb. </w:t>
      </w:r>
      <w:r w:rsidR="007F3E08" w:rsidRPr="00287F59">
        <w:rPr>
          <w:rFonts w:ascii="Times New Roman" w:hAnsi="Times New Roman" w:cs="Times New Roman"/>
          <w:sz w:val="24"/>
          <w:szCs w:val="24"/>
        </w:rPr>
        <w:t>o</w:t>
      </w:r>
      <w:r w:rsidR="007F3E08">
        <w:rPr>
          <w:rFonts w:ascii="Times New Roman" w:hAnsi="Times New Roman" w:cs="Times New Roman"/>
          <w:sz w:val="24"/>
          <w:szCs w:val="24"/>
        </w:rPr>
        <w:t> </w:t>
      </w:r>
      <w:r w:rsidRPr="00287F59">
        <w:rPr>
          <w:rFonts w:ascii="Times New Roman" w:hAnsi="Times New Roman" w:cs="Times New Roman"/>
          <w:sz w:val="24"/>
          <w:szCs w:val="24"/>
        </w:rPr>
        <w:t>súdnych exekútoroch a</w:t>
      </w:r>
      <w:r w:rsidR="0062015D">
        <w:rPr>
          <w:rFonts w:ascii="Times New Roman" w:hAnsi="Times New Roman" w:cs="Times New Roman"/>
          <w:sz w:val="24"/>
          <w:szCs w:val="24"/>
        </w:rPr>
        <w:t> </w:t>
      </w:r>
      <w:r w:rsidRPr="00287F59">
        <w:rPr>
          <w:rFonts w:ascii="Times New Roman" w:hAnsi="Times New Roman" w:cs="Times New Roman"/>
          <w:sz w:val="24"/>
          <w:szCs w:val="24"/>
        </w:rPr>
        <w:t>exekučnej činnosti (Exekučný poriadok) a o zmene a doplnení ďalších zákonov</w:t>
      </w:r>
      <w:r>
        <w:rPr>
          <w:rFonts w:ascii="Times New Roman" w:hAnsi="Times New Roman" w:cs="Times New Roman"/>
          <w:sz w:val="24"/>
          <w:szCs w:val="24"/>
        </w:rPr>
        <w:t>, ktorého cieľom</w:t>
      </w:r>
      <w:r w:rsidRPr="00931C42">
        <w:rPr>
          <w:rFonts w:ascii="Times New Roman" w:hAnsi="Times New Roman" w:cs="Times New Roman"/>
          <w:sz w:val="24"/>
          <w:szCs w:val="24"/>
        </w:rPr>
        <w:t xml:space="preserve"> je posilniť úlohu štátu a ochrany verejného záujmu a tým zefektívniť vymáhanie pohľadávok pre veriteľov a zároveň poskytnúť primeranú ochranu základným právam dlžníka a</w:t>
      </w:r>
      <w:r w:rsidR="0062015D">
        <w:rPr>
          <w:rFonts w:ascii="Times New Roman" w:hAnsi="Times New Roman" w:cs="Times New Roman"/>
          <w:sz w:val="24"/>
          <w:szCs w:val="24"/>
        </w:rPr>
        <w:t> </w:t>
      </w:r>
      <w:r w:rsidRPr="00931C42">
        <w:rPr>
          <w:rFonts w:ascii="Times New Roman" w:hAnsi="Times New Roman" w:cs="Times New Roman"/>
          <w:sz w:val="24"/>
          <w:szCs w:val="24"/>
        </w:rPr>
        <w:t>na ten účel ustanoviť jednoznačný spôsob a rozsah určovania výšky trov exekúcie. Jedným z</w:t>
      </w:r>
      <w:r w:rsidR="0062015D">
        <w:rPr>
          <w:rFonts w:ascii="Times New Roman" w:hAnsi="Times New Roman" w:cs="Times New Roman"/>
          <w:sz w:val="24"/>
          <w:szCs w:val="24"/>
        </w:rPr>
        <w:t> </w:t>
      </w:r>
      <w:r w:rsidRPr="00931C42">
        <w:rPr>
          <w:rFonts w:ascii="Times New Roman" w:hAnsi="Times New Roman" w:cs="Times New Roman"/>
          <w:sz w:val="24"/>
          <w:szCs w:val="24"/>
        </w:rPr>
        <w:t>kľúčových bodov pripravovaného návrhu zákona je zriadenie jediného exekučného súdu, ktorým sa stane Okresný súd Banská Bystrica.</w:t>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V porovnaní so súčasným právnym stavom, kedy si súdneho exekútora pre výkon exekúcie vyberá oprávnený, predstavuje zásadnú zmenu zavedenie náhodného výberu súdneho exekútora pre každé exekučné konanie založenom na územnom (teritoriálnom) princípe. </w:t>
      </w:r>
      <w:r w:rsidRPr="00931C42">
        <w:rPr>
          <w:rFonts w:ascii="Times New Roman" w:hAnsi="Times New Roman" w:cs="Times New Roman"/>
          <w:sz w:val="24"/>
          <w:szCs w:val="24"/>
        </w:rPr>
        <w:lastRenderedPageBreak/>
        <w:t>Zmyslom spájania viacerých exekúcií proti jednému povinnému u jedného súdneho exekútora je zníženie nákladov exekúcie.</w:t>
      </w:r>
    </w:p>
    <w:p w:rsidR="00147EB4"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V záujme transparentného procesu stanovenia trov exekúcie sa zavádzajú pravidlá pre určovanie preddavkov na trovy exekúcie tak, aby mal oprávnený od začiatku exekúcie jednoznačnú vedomosť o trovách exekúcie, a to aj v prípade niektorých vybraných spôsobov jej vykonania. Pravidlá pre rozhodovanie o trovách exekúcie všetkých účastníkov exekučného konania vrátane súdneho exekútora sa rozširujú aj o paušálne odmeňovanie. Súdny exekútor má mať nárok na vopred známu, jasne určenú a teda predvídateľnú paušálnu odmenu a paušálne výdavky. Tým dôjde aj k odbremeneniu súdov od enormného množstva prípadov, v ktorých je v</w:t>
      </w:r>
      <w:r w:rsidR="007F3E08">
        <w:rPr>
          <w:rFonts w:ascii="Times New Roman" w:hAnsi="Times New Roman" w:cs="Times New Roman"/>
          <w:sz w:val="24"/>
          <w:szCs w:val="24"/>
        </w:rPr>
        <w:t> </w:t>
      </w:r>
      <w:r w:rsidRPr="00931C42">
        <w:rPr>
          <w:rFonts w:ascii="Times New Roman" w:hAnsi="Times New Roman" w:cs="Times New Roman"/>
          <w:sz w:val="24"/>
          <w:szCs w:val="24"/>
        </w:rPr>
        <w:t>súčasnosti potrebné rozhodovať o trovách exekúcie.</w:t>
      </w:r>
    </w:p>
    <w:p w:rsidR="00147EB4" w:rsidRDefault="00147EB4" w:rsidP="00147EB4">
      <w:pPr>
        <w:spacing w:after="0" w:line="240" w:lineRule="auto"/>
        <w:jc w:val="both"/>
        <w:rPr>
          <w:rFonts w:ascii="Times New Roman" w:hAnsi="Times New Roman" w:cs="Times New Roman"/>
          <w:sz w:val="24"/>
          <w:szCs w:val="24"/>
        </w:rPr>
      </w:pPr>
    </w:p>
    <w:p w:rsidR="00147EB4" w:rsidRPr="00754613" w:rsidRDefault="00147EB4" w:rsidP="00147EB4">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ab/>
      </w:r>
      <w:r w:rsidRPr="00931C42">
        <w:rPr>
          <w:rFonts w:ascii="Times New Roman" w:hAnsi="Times New Roman" w:cs="Times New Roman"/>
          <w:i/>
          <w:sz w:val="24"/>
          <w:szCs w:val="24"/>
        </w:rPr>
        <w:t>Čo sa týka priamych nákladov, pohľadávky na poistnom a príspevkoch na starobné dôchodkové sporenie  evidované Sociálnou poisťovňou k 31. 05. 2016 dosiahli celkom výšku cca 769 mil. €. Celkovo bolo v roku 2015 uhradené prostredníctvom vymáhania pohľadávky v exekučnom konaní cca 40 mil. €, pričom sa odhaduje, že zame</w:t>
      </w:r>
      <w:r>
        <w:rPr>
          <w:rFonts w:ascii="Times New Roman" w:hAnsi="Times New Roman" w:cs="Times New Roman"/>
          <w:i/>
          <w:sz w:val="24"/>
          <w:szCs w:val="24"/>
        </w:rPr>
        <w:t>stnávatelia a SZČO zaplatili 38 </w:t>
      </w:r>
      <w:r w:rsidRPr="00931C42">
        <w:rPr>
          <w:rFonts w:ascii="Times New Roman" w:hAnsi="Times New Roman" w:cs="Times New Roman"/>
          <w:i/>
          <w:sz w:val="24"/>
          <w:szCs w:val="24"/>
        </w:rPr>
        <w:t>mil. € z toho.</w:t>
      </w:r>
      <w:r w:rsidR="00D071C6">
        <w:rPr>
          <w:rFonts w:ascii="Times New Roman" w:hAnsi="Times New Roman" w:cs="Times New Roman"/>
          <w:i/>
          <w:sz w:val="24"/>
          <w:szCs w:val="24"/>
        </w:rPr>
        <w:t xml:space="preserve"> </w:t>
      </w:r>
      <w:r w:rsidRPr="00931C42">
        <w:rPr>
          <w:rFonts w:ascii="Times New Roman" w:hAnsi="Times New Roman" w:cs="Times New Roman"/>
          <w:i/>
          <w:sz w:val="24"/>
          <w:szCs w:val="24"/>
        </w:rPr>
        <w:t>Ďalej sa predpokladá, že prostredníctvom exekúcie uhradilo pohľadávku približne 21 tisíc zamestnávateľov a SZČO v roku 2015, pričom ich ďalšie náklady na odmeny súdnych exekútorov tvorili cca 7,6 mil. €. Pri realizácii navrhnutého výkonu rozh</w:t>
      </w:r>
      <w:r>
        <w:rPr>
          <w:rFonts w:ascii="Times New Roman" w:hAnsi="Times New Roman" w:cs="Times New Roman"/>
          <w:i/>
          <w:sz w:val="24"/>
          <w:szCs w:val="24"/>
        </w:rPr>
        <w:t>odnutí Sociálnej poisťovne už k </w:t>
      </w:r>
      <w:r w:rsidRPr="00931C42">
        <w:rPr>
          <w:rFonts w:ascii="Times New Roman" w:hAnsi="Times New Roman" w:cs="Times New Roman"/>
          <w:i/>
          <w:sz w:val="24"/>
          <w:szCs w:val="24"/>
        </w:rPr>
        <w:t>týmto nákladom nebude musieť dôjsť, t. z., priemernú úsporu nákladov na jeden podnikateľský subjekt splácajúci pohľadávku v exekučnom konaní v sume cca 362 € (výpočet</w:t>
      </w:r>
      <w:r>
        <w:rPr>
          <w:rFonts w:ascii="Times New Roman" w:hAnsi="Times New Roman" w:cs="Times New Roman"/>
          <w:i/>
          <w:sz w:val="24"/>
          <w:szCs w:val="24"/>
        </w:rPr>
        <w:t> </w:t>
      </w:r>
      <w:r w:rsidRPr="00931C42">
        <w:rPr>
          <w:rFonts w:ascii="Times New Roman" w:hAnsi="Times New Roman" w:cs="Times New Roman"/>
          <w:i/>
          <w:sz w:val="24"/>
          <w:szCs w:val="24"/>
        </w:rPr>
        <w:t>=</w:t>
      </w:r>
      <w:r>
        <w:rPr>
          <w:rFonts w:ascii="Times New Roman" w:hAnsi="Times New Roman" w:cs="Times New Roman"/>
          <w:i/>
          <w:sz w:val="24"/>
          <w:szCs w:val="24"/>
        </w:rPr>
        <w:t> </w:t>
      </w:r>
      <w:r w:rsidRPr="00931C42">
        <w:rPr>
          <w:rFonts w:ascii="Times New Roman" w:hAnsi="Times New Roman" w:cs="Times New Roman"/>
          <w:i/>
          <w:sz w:val="24"/>
          <w:szCs w:val="24"/>
        </w:rPr>
        <w:t>7</w:t>
      </w:r>
      <w:r>
        <w:rPr>
          <w:rFonts w:ascii="Times New Roman" w:hAnsi="Times New Roman" w:cs="Times New Roman"/>
          <w:i/>
          <w:sz w:val="24"/>
          <w:szCs w:val="24"/>
        </w:rPr>
        <w:t> </w:t>
      </w:r>
      <w:r w:rsidRPr="00931C42">
        <w:rPr>
          <w:rFonts w:ascii="Times New Roman" w:hAnsi="Times New Roman" w:cs="Times New Roman"/>
          <w:i/>
          <w:sz w:val="24"/>
          <w:szCs w:val="24"/>
        </w:rPr>
        <w:t>600</w:t>
      </w:r>
      <w:r>
        <w:rPr>
          <w:rFonts w:ascii="Times New Roman" w:hAnsi="Times New Roman" w:cs="Times New Roman"/>
          <w:i/>
          <w:sz w:val="24"/>
          <w:szCs w:val="24"/>
        </w:rPr>
        <w:t> </w:t>
      </w:r>
      <w:r w:rsidRPr="00931C42">
        <w:rPr>
          <w:rFonts w:ascii="Times New Roman" w:hAnsi="Times New Roman" w:cs="Times New Roman"/>
          <w:i/>
          <w:sz w:val="24"/>
          <w:szCs w:val="24"/>
        </w:rPr>
        <w:t>000/21</w:t>
      </w:r>
      <w:r>
        <w:rPr>
          <w:rFonts w:ascii="Times New Roman" w:hAnsi="Times New Roman" w:cs="Times New Roman"/>
          <w:i/>
          <w:sz w:val="24"/>
          <w:szCs w:val="24"/>
        </w:rPr>
        <w:t> </w:t>
      </w:r>
      <w:r w:rsidRPr="00931C42">
        <w:rPr>
          <w:rFonts w:ascii="Times New Roman" w:hAnsi="Times New Roman" w:cs="Times New Roman"/>
          <w:i/>
          <w:sz w:val="24"/>
          <w:szCs w:val="24"/>
        </w:rPr>
        <w:t>000). Navrhovateľ nedisponuje údajom o výške trov konania, ktoré by mali predstavovať ďalšiu úsporu na strane dlžníkov (vzhľadom na to, že v budúcnosti nebudú musieť byť vynaložené).</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Z</w:t>
      </w:r>
      <w:r w:rsidRPr="00931C42">
        <w:rPr>
          <w:rFonts w:ascii="Times New Roman" w:hAnsi="Times New Roman" w:cs="Times New Roman"/>
          <w:b/>
          <w:sz w:val="24"/>
          <w:szCs w:val="24"/>
        </w:rPr>
        <w:t>ákon</w:t>
      </w:r>
      <w:r>
        <w:rPr>
          <w:rFonts w:ascii="Times New Roman" w:hAnsi="Times New Roman" w:cs="Times New Roman"/>
          <w:b/>
          <w:sz w:val="24"/>
          <w:szCs w:val="24"/>
        </w:rPr>
        <w:t xml:space="preserve"> o registri partnerov verejného sektora</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147EB4" w:rsidRPr="00931C42" w:rsidRDefault="007F3E08" w:rsidP="00147EB4">
      <w:pPr>
        <w:spacing w:after="0" w:line="240" w:lineRule="auto"/>
        <w:ind w:firstLine="708"/>
        <w:jc w:val="both"/>
        <w:rPr>
          <w:rFonts w:ascii="Times New Roman" w:hAnsi="Times New Roman" w:cs="Times New Roman"/>
          <w:b/>
          <w:bCs/>
          <w:sz w:val="24"/>
          <w:szCs w:val="24"/>
        </w:rPr>
      </w:pPr>
      <w:r>
        <w:rPr>
          <w:rFonts w:ascii="Times New Roman" w:hAnsi="Times New Roman" w:cs="Times New Roman"/>
          <w:sz w:val="24"/>
          <w:szCs w:val="24"/>
        </w:rPr>
        <w:t>NR</w:t>
      </w:r>
      <w:r w:rsidR="00147EB4" w:rsidRPr="00287F59">
        <w:rPr>
          <w:rFonts w:ascii="Times New Roman" w:hAnsi="Times New Roman" w:cs="Times New Roman"/>
          <w:sz w:val="24"/>
          <w:szCs w:val="24"/>
        </w:rPr>
        <w:t xml:space="preserve"> </w:t>
      </w:r>
      <w:r w:rsidR="004C59A1">
        <w:rPr>
          <w:rFonts w:ascii="Times New Roman" w:hAnsi="Times New Roman" w:cs="Times New Roman"/>
          <w:sz w:val="24"/>
          <w:szCs w:val="24"/>
        </w:rPr>
        <w:t>SR</w:t>
      </w:r>
      <w:r w:rsidR="00147EB4" w:rsidRPr="00287F59">
        <w:rPr>
          <w:rFonts w:ascii="Times New Roman" w:hAnsi="Times New Roman" w:cs="Times New Roman"/>
          <w:sz w:val="24"/>
          <w:szCs w:val="24"/>
        </w:rPr>
        <w:t xml:space="preserve"> 25. </w:t>
      </w:r>
      <w:r w:rsidR="00147EB4">
        <w:rPr>
          <w:rFonts w:ascii="Times New Roman" w:hAnsi="Times New Roman" w:cs="Times New Roman"/>
          <w:sz w:val="24"/>
          <w:szCs w:val="24"/>
        </w:rPr>
        <w:t>10.</w:t>
      </w:r>
      <w:r w:rsidR="00147EB4" w:rsidRPr="00287F59">
        <w:rPr>
          <w:rFonts w:ascii="Times New Roman" w:hAnsi="Times New Roman" w:cs="Times New Roman"/>
          <w:sz w:val="24"/>
          <w:szCs w:val="24"/>
        </w:rPr>
        <w:t xml:space="preserve"> 2016 </w:t>
      </w:r>
      <w:r w:rsidR="00EC1A14" w:rsidRPr="00287F59">
        <w:rPr>
          <w:rFonts w:ascii="Times New Roman" w:hAnsi="Times New Roman" w:cs="Times New Roman"/>
          <w:sz w:val="24"/>
          <w:szCs w:val="24"/>
        </w:rPr>
        <w:t xml:space="preserve">schválila </w:t>
      </w:r>
      <w:r w:rsidR="00147EB4" w:rsidRPr="00287F59">
        <w:rPr>
          <w:rFonts w:ascii="Times New Roman" w:hAnsi="Times New Roman" w:cs="Times New Roman"/>
          <w:sz w:val="24"/>
          <w:szCs w:val="24"/>
        </w:rPr>
        <w:t xml:space="preserve">zákon č. 315/2016 Z. z. o registri partnerov verejného sektora a o zmene a o doplnení niektorých právnych predpisov, ktorý nadobudne účinnosť </w:t>
      </w:r>
      <w:r w:rsidR="007E014C">
        <w:rPr>
          <w:rFonts w:ascii="Times New Roman" w:hAnsi="Times New Roman" w:cs="Times New Roman"/>
          <w:sz w:val="24"/>
          <w:szCs w:val="24"/>
        </w:rPr>
        <w:t>0</w:t>
      </w:r>
      <w:r w:rsidR="00147EB4" w:rsidRPr="00287F59">
        <w:rPr>
          <w:rFonts w:ascii="Times New Roman" w:hAnsi="Times New Roman" w:cs="Times New Roman"/>
          <w:sz w:val="24"/>
          <w:szCs w:val="24"/>
        </w:rPr>
        <w:t>1.</w:t>
      </w:r>
      <w:r w:rsidR="000F6FCC">
        <w:rPr>
          <w:rFonts w:ascii="Times New Roman" w:hAnsi="Times New Roman" w:cs="Times New Roman"/>
          <w:sz w:val="24"/>
          <w:szCs w:val="24"/>
        </w:rPr>
        <w:t> </w:t>
      </w:r>
      <w:r w:rsidR="007E014C">
        <w:rPr>
          <w:rFonts w:ascii="Times New Roman" w:hAnsi="Times New Roman" w:cs="Times New Roman"/>
          <w:sz w:val="24"/>
          <w:szCs w:val="24"/>
        </w:rPr>
        <w:t>02.</w:t>
      </w:r>
      <w:r w:rsidR="00147EB4" w:rsidRPr="00287F59">
        <w:rPr>
          <w:rFonts w:ascii="Times New Roman" w:hAnsi="Times New Roman" w:cs="Times New Roman"/>
          <w:sz w:val="24"/>
          <w:szCs w:val="24"/>
        </w:rPr>
        <w:t xml:space="preserve"> 2017. V dôsledku prijatého právneho predpisu dochádza k zmene súčasnej právnej úpravy Registra konečných užívateľov výhod</w:t>
      </w:r>
      <w:r w:rsidR="00147EB4">
        <w:rPr>
          <w:rFonts w:ascii="Times New Roman" w:hAnsi="Times New Roman" w:cs="Times New Roman"/>
          <w:sz w:val="24"/>
          <w:szCs w:val="24"/>
        </w:rPr>
        <w:t>, ktorý bude nahradený</w:t>
      </w:r>
      <w:r w:rsidR="00147EB4" w:rsidRPr="00287F59">
        <w:rPr>
          <w:rFonts w:ascii="Times New Roman" w:hAnsi="Times New Roman" w:cs="Times New Roman"/>
          <w:sz w:val="24"/>
          <w:szCs w:val="24"/>
        </w:rPr>
        <w:t xml:space="preserve"> Regist</w:t>
      </w:r>
      <w:r w:rsidR="00147EB4">
        <w:rPr>
          <w:rFonts w:ascii="Times New Roman" w:hAnsi="Times New Roman" w:cs="Times New Roman"/>
          <w:sz w:val="24"/>
          <w:szCs w:val="24"/>
        </w:rPr>
        <w:t>rom</w:t>
      </w:r>
      <w:r w:rsidR="00147EB4" w:rsidRPr="00287F59">
        <w:rPr>
          <w:rFonts w:ascii="Times New Roman" w:hAnsi="Times New Roman" w:cs="Times New Roman"/>
          <w:sz w:val="24"/>
          <w:szCs w:val="24"/>
        </w:rPr>
        <w:t xml:space="preserve"> partnerov verejného sektora, ktorého správcom a prevádzkovateľom bude Ministerstvo spravodlivosti S</w:t>
      </w:r>
      <w:r w:rsidR="00D2712C">
        <w:rPr>
          <w:rFonts w:ascii="Times New Roman" w:hAnsi="Times New Roman" w:cs="Times New Roman"/>
          <w:sz w:val="24"/>
          <w:szCs w:val="24"/>
        </w:rPr>
        <w:t>R</w:t>
      </w:r>
      <w:r w:rsidR="00147EB4" w:rsidRPr="00287F59">
        <w:rPr>
          <w:rFonts w:ascii="Times New Roman" w:hAnsi="Times New Roman" w:cs="Times New Roman"/>
          <w:sz w:val="24"/>
          <w:szCs w:val="24"/>
        </w:rPr>
        <w:t xml:space="preserve">. </w:t>
      </w:r>
      <w:r w:rsidR="00147EB4" w:rsidRPr="00931C42">
        <w:rPr>
          <w:rFonts w:ascii="Times New Roman" w:hAnsi="Times New Roman" w:cs="Times New Roman"/>
          <w:sz w:val="24"/>
          <w:szCs w:val="24"/>
        </w:rPr>
        <w:t xml:space="preserve">Jeho podstata spočíva v skutočnosti, že firmy, ktoré sa chcú uchádzať o verejné zdroje sa budú musieť povinne registrovať vo verejnom registri partnerov verejného sektora. Súčasne musia zverejniť vlastnícku štruktúru až na úroveň konečného užívateľa výhod. </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Registračná povinnosť sa bude vzťahovať nielen na tých, ktorí sa uchádzajú o peniaze zo štátneho či obecného rozpočtu, ale aj na tých, ktorí sa uchádzajú o peniaze zo štátnych či obecných akcioviek a štátnych fondov. Registrovať by sa mali aj tí, ktorí nadobúdajú pohľadávky voči štátu, obci, ich akciovkám, ale aj dodávatelia tovarov a služieb pre zdravotné poisťovne. Odkryť svoju vlastnícku štruktúru by mali povinne aj tí, ktorí si v konkurze alebo reštrukturalizácii uplatňujú pohľadávku nad </w:t>
      </w:r>
      <w:r>
        <w:rPr>
          <w:rFonts w:ascii="Times New Roman" w:hAnsi="Times New Roman" w:cs="Times New Roman"/>
          <w:sz w:val="24"/>
          <w:szCs w:val="24"/>
        </w:rPr>
        <w:t>1 mil.</w:t>
      </w:r>
      <w:r w:rsidRPr="00931C42">
        <w:rPr>
          <w:rFonts w:ascii="Times New Roman" w:hAnsi="Times New Roman" w:cs="Times New Roman"/>
          <w:sz w:val="24"/>
          <w:szCs w:val="24"/>
        </w:rPr>
        <w:t xml:space="preserve"> € voči subjektu, ktorý je alebo v</w:t>
      </w:r>
      <w:r>
        <w:rPr>
          <w:rFonts w:ascii="Times New Roman" w:hAnsi="Times New Roman" w:cs="Times New Roman"/>
          <w:sz w:val="24"/>
          <w:szCs w:val="24"/>
        </w:rPr>
        <w:t> </w:t>
      </w:r>
      <w:r w:rsidRPr="00931C42">
        <w:rPr>
          <w:rFonts w:ascii="Times New Roman" w:hAnsi="Times New Roman" w:cs="Times New Roman"/>
          <w:sz w:val="24"/>
          <w:szCs w:val="24"/>
        </w:rPr>
        <w:t>posledných piatich rokoch bol zapísaný ako partner verejného sektora.</w:t>
      </w:r>
    </w:p>
    <w:p w:rsidR="00147EB4" w:rsidRPr="00931C42" w:rsidRDefault="00147EB4" w:rsidP="00147EB4">
      <w:pPr>
        <w:spacing w:after="0" w:line="240" w:lineRule="auto"/>
        <w:jc w:val="both"/>
        <w:rPr>
          <w:rFonts w:ascii="Times New Roman" w:hAnsi="Times New Roman" w:cs="Times New Roman"/>
          <w:i/>
          <w:sz w:val="24"/>
          <w:szCs w:val="24"/>
        </w:rPr>
      </w:pPr>
    </w:p>
    <w:p w:rsidR="00147EB4" w:rsidRPr="00931C42" w:rsidRDefault="00147EB4" w:rsidP="00147EB4">
      <w:pPr>
        <w:spacing w:after="0" w:line="240" w:lineRule="auto"/>
        <w:ind w:firstLine="705"/>
        <w:jc w:val="both"/>
        <w:rPr>
          <w:rFonts w:ascii="Times New Roman" w:hAnsi="Times New Roman" w:cs="Times New Roman"/>
          <w:i/>
          <w:sz w:val="24"/>
          <w:szCs w:val="24"/>
        </w:rPr>
      </w:pPr>
      <w:r>
        <w:rPr>
          <w:rFonts w:ascii="Times New Roman" w:hAnsi="Times New Roman" w:cs="Times New Roman"/>
          <w:i/>
          <w:sz w:val="24"/>
          <w:szCs w:val="24"/>
        </w:rPr>
        <w:t>Z</w:t>
      </w:r>
      <w:r w:rsidRPr="00931C42">
        <w:rPr>
          <w:rFonts w:ascii="Times New Roman" w:hAnsi="Times New Roman" w:cs="Times New Roman"/>
          <w:i/>
          <w:sz w:val="24"/>
          <w:szCs w:val="24"/>
        </w:rPr>
        <w:t>ákon predpokladá priame finančné náklady spojené so spoluprácou s</w:t>
      </w:r>
      <w:r>
        <w:rPr>
          <w:rFonts w:ascii="Times New Roman" w:hAnsi="Times New Roman" w:cs="Times New Roman"/>
          <w:i/>
          <w:sz w:val="24"/>
          <w:szCs w:val="24"/>
        </w:rPr>
        <w:t> </w:t>
      </w:r>
      <w:r w:rsidRPr="00931C42">
        <w:rPr>
          <w:rFonts w:ascii="Times New Roman" w:hAnsi="Times New Roman" w:cs="Times New Roman"/>
          <w:i/>
          <w:sz w:val="24"/>
          <w:szCs w:val="24"/>
        </w:rPr>
        <w:t>oprávnenou osobou (advokát, banka, pobočka zahraničnej banky, audítor, daňový poradca). Oprávnená osoba bude zabezpečovať zápis pre partnera verejného sektora, ktorým môže byť aj podnikateľ, do registra partnerov verejného sektora. Oprávnená osoba bude túto činnosť vykonávať ako komerčnú činnosť. Cenotvorba v tomto prípade nie je regulovaná a je vecou dohody klienta a</w:t>
      </w:r>
      <w:r w:rsidR="005D5E86">
        <w:rPr>
          <w:rFonts w:ascii="Times New Roman" w:hAnsi="Times New Roman" w:cs="Times New Roman"/>
          <w:i/>
          <w:sz w:val="24"/>
          <w:szCs w:val="24"/>
        </w:rPr>
        <w:t> </w:t>
      </w:r>
      <w:r w:rsidRPr="00931C42">
        <w:rPr>
          <w:rFonts w:ascii="Times New Roman" w:hAnsi="Times New Roman" w:cs="Times New Roman"/>
          <w:i/>
          <w:sz w:val="24"/>
          <w:szCs w:val="24"/>
        </w:rPr>
        <w:t xml:space="preserve">toho, kto klientovi poskytuje službu. </w:t>
      </w:r>
    </w:p>
    <w:p w:rsidR="00147EB4" w:rsidRPr="00931C42" w:rsidRDefault="00147EB4" w:rsidP="00147EB4">
      <w:pPr>
        <w:spacing w:after="0" w:line="240" w:lineRule="auto"/>
        <w:jc w:val="center"/>
        <w:rPr>
          <w:rFonts w:ascii="Times New Roman" w:hAnsi="Times New Roman" w:cs="Times New Roman"/>
          <w:sz w:val="24"/>
          <w:szCs w:val="24"/>
        </w:rPr>
      </w:pPr>
    </w:p>
    <w:p w:rsidR="00147EB4" w:rsidRPr="00931C42" w:rsidRDefault="00147EB4" w:rsidP="00147EB4">
      <w:pPr>
        <w:spacing w:after="0" w:line="240" w:lineRule="auto"/>
        <w:ind w:left="705" w:hanging="705"/>
        <w:jc w:val="both"/>
        <w:rPr>
          <w:rFonts w:ascii="Times New Roman" w:hAnsi="Times New Roman" w:cs="Times New Roman"/>
          <w:b/>
          <w:sz w:val="24"/>
          <w:szCs w:val="24"/>
        </w:rPr>
      </w:pPr>
      <w:r w:rsidRPr="00931C42">
        <w:rPr>
          <w:rFonts w:ascii="Times New Roman" w:hAnsi="Times New Roman" w:cs="Times New Roman"/>
          <w:b/>
          <w:sz w:val="24"/>
          <w:szCs w:val="24"/>
        </w:rPr>
        <w:t>Návrh zákona o európskom príkaze na zablokovanie účtov</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Návrh zákona o európskom príkaze na zablokovanie účtov môže zásadným spôsobom zlepšiť vymožiteľnosť práva cez cezhraničné vymáhanie pohľadávok v občianskych </w:t>
      </w:r>
      <w:r w:rsidRPr="00931C42">
        <w:rPr>
          <w:rFonts w:ascii="Times New Roman" w:hAnsi="Times New Roman" w:cs="Times New Roman"/>
          <w:sz w:val="24"/>
          <w:szCs w:val="24"/>
        </w:rPr>
        <w:lastRenderedPageBreak/>
        <w:t>a</w:t>
      </w:r>
      <w:r>
        <w:rPr>
          <w:rFonts w:ascii="Times New Roman" w:hAnsi="Times New Roman" w:cs="Times New Roman"/>
          <w:sz w:val="24"/>
          <w:szCs w:val="24"/>
        </w:rPr>
        <w:t> </w:t>
      </w:r>
      <w:r w:rsidRPr="00931C42">
        <w:rPr>
          <w:rFonts w:ascii="Times New Roman" w:hAnsi="Times New Roman" w:cs="Times New Roman"/>
          <w:sz w:val="24"/>
          <w:szCs w:val="24"/>
        </w:rPr>
        <w:t>obchodných právnych veciach.</w:t>
      </w:r>
      <w:r>
        <w:rPr>
          <w:rFonts w:ascii="Times New Roman" w:hAnsi="Times New Roman" w:cs="Times New Roman"/>
          <w:sz w:val="24"/>
          <w:szCs w:val="24"/>
        </w:rPr>
        <w:t xml:space="preserve"> </w:t>
      </w:r>
      <w:r w:rsidR="007F3E08">
        <w:rPr>
          <w:rFonts w:ascii="Times New Roman" w:hAnsi="Times New Roman" w:cs="Times New Roman"/>
          <w:sz w:val="24"/>
          <w:szCs w:val="24"/>
        </w:rPr>
        <w:t>NR</w:t>
      </w:r>
      <w:r>
        <w:rPr>
          <w:rFonts w:ascii="Times New Roman" w:hAnsi="Times New Roman" w:cs="Times New Roman"/>
          <w:sz w:val="24"/>
          <w:szCs w:val="24"/>
        </w:rPr>
        <w:t xml:space="preserve"> </w:t>
      </w:r>
      <w:r w:rsidR="004C59A1">
        <w:rPr>
          <w:rFonts w:ascii="Times New Roman" w:hAnsi="Times New Roman" w:cs="Times New Roman"/>
          <w:sz w:val="24"/>
          <w:szCs w:val="24"/>
        </w:rPr>
        <w:t>SR</w:t>
      </w:r>
      <w:r>
        <w:rPr>
          <w:rFonts w:ascii="Times New Roman" w:hAnsi="Times New Roman" w:cs="Times New Roman"/>
          <w:sz w:val="24"/>
          <w:szCs w:val="24"/>
        </w:rPr>
        <w:t xml:space="preserve"> posunula tento návrh zákona 29.</w:t>
      </w:r>
      <w:r w:rsidR="00A1677A">
        <w:rPr>
          <w:rFonts w:ascii="Times New Roman" w:hAnsi="Times New Roman" w:cs="Times New Roman"/>
          <w:sz w:val="24"/>
          <w:szCs w:val="24"/>
        </w:rPr>
        <w:t xml:space="preserve"> </w:t>
      </w:r>
      <w:r>
        <w:rPr>
          <w:rFonts w:ascii="Times New Roman" w:hAnsi="Times New Roman" w:cs="Times New Roman"/>
          <w:sz w:val="24"/>
          <w:szCs w:val="24"/>
        </w:rPr>
        <w:t>11.</w:t>
      </w:r>
      <w:r w:rsidR="00A1677A">
        <w:rPr>
          <w:rFonts w:ascii="Times New Roman" w:hAnsi="Times New Roman" w:cs="Times New Roman"/>
          <w:sz w:val="24"/>
          <w:szCs w:val="24"/>
        </w:rPr>
        <w:t xml:space="preserve"> </w:t>
      </w:r>
      <w:r>
        <w:rPr>
          <w:rFonts w:ascii="Times New Roman" w:hAnsi="Times New Roman" w:cs="Times New Roman"/>
          <w:sz w:val="24"/>
          <w:szCs w:val="24"/>
        </w:rPr>
        <w:t xml:space="preserve">2016 už do druhého čítania. </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Vychádza z</w:t>
      </w:r>
      <w:r w:rsidR="003514E1">
        <w:rPr>
          <w:rFonts w:ascii="Times New Roman" w:hAnsi="Times New Roman" w:cs="Times New Roman"/>
          <w:sz w:val="24"/>
          <w:szCs w:val="24"/>
        </w:rPr>
        <w:t xml:space="preserve"> nariadenia </w:t>
      </w:r>
      <w:r w:rsidRPr="00931C42">
        <w:rPr>
          <w:rFonts w:ascii="Times New Roman" w:hAnsi="Times New Roman" w:cs="Times New Roman"/>
          <w:sz w:val="24"/>
          <w:szCs w:val="24"/>
        </w:rPr>
        <w:t>Európskeho</w:t>
      </w:r>
      <w:r w:rsidR="003514E1">
        <w:rPr>
          <w:rFonts w:ascii="Times New Roman" w:hAnsi="Times New Roman" w:cs="Times New Roman"/>
          <w:sz w:val="24"/>
          <w:szCs w:val="24"/>
        </w:rPr>
        <w:t xml:space="preserve"> parlamentu a Rady (EÚ) č. 655/2014 z 15. 05. 2014 o zavedení konania týkajúceho sa európskeho príkazu na zablokovanie účtov</w:t>
      </w:r>
      <w:r w:rsidRPr="00931C42">
        <w:rPr>
          <w:rFonts w:ascii="Times New Roman" w:hAnsi="Times New Roman" w:cs="Times New Roman"/>
          <w:sz w:val="24"/>
          <w:szCs w:val="24"/>
        </w:rPr>
        <w:t xml:space="preserve"> a nevyžaduje transpozíciu do vnútroštátnej právnej normy, na samotné konanie sa primerane použijú ustanovenia o neodkladných opatreniach podľa Civilného sporového poriadku. </w:t>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Návrh </w:t>
      </w:r>
      <w:r w:rsidR="00A86B70" w:rsidRPr="00A86B70">
        <w:rPr>
          <w:rFonts w:ascii="Times New Roman" w:hAnsi="Times New Roman" w:cs="Times New Roman"/>
          <w:sz w:val="24"/>
          <w:szCs w:val="24"/>
        </w:rPr>
        <w:t xml:space="preserve">zákona o európskom príkaze na zablokovanie účtov </w:t>
      </w:r>
      <w:r w:rsidRPr="00931C42">
        <w:rPr>
          <w:rFonts w:ascii="Times New Roman" w:hAnsi="Times New Roman" w:cs="Times New Roman"/>
          <w:sz w:val="24"/>
          <w:szCs w:val="24"/>
        </w:rPr>
        <w:t xml:space="preserve">poskytuje veriteľovi možnosť dosiahnuť vydanie ochranného opatrenia vo forme európskeho príkazu na zablokovanie účtov, ktorým sa zabráni prevodu alebo vybratiu finančných prostriedkov, ktoré má jeho dlžník v držbe na bankovom účte vedenom v členskom štáte, ak hrozí, že bez takéhoto opatrenia bude následné vymáhanie jeho pohľadávky, resp. nároku voči dlžníkovi zmarené alebo podstatne sťažené. </w:t>
      </w:r>
    </w:p>
    <w:p w:rsidR="00147EB4" w:rsidRDefault="00147EB4" w:rsidP="00147EB4">
      <w:pPr>
        <w:spacing w:after="0" w:line="240" w:lineRule="auto"/>
        <w:jc w:val="both"/>
        <w:rPr>
          <w:rFonts w:ascii="Times New Roman" w:hAnsi="Times New Roman" w:cs="Times New Roman"/>
          <w:sz w:val="24"/>
          <w:szCs w:val="24"/>
        </w:rPr>
      </w:pPr>
    </w:p>
    <w:p w:rsidR="00147EB4" w:rsidRDefault="00147EB4" w:rsidP="00147EB4">
      <w:pPr>
        <w:spacing w:after="0" w:line="240" w:lineRule="auto"/>
        <w:ind w:firstLine="4"/>
        <w:jc w:val="both"/>
        <w:rPr>
          <w:rFonts w:ascii="Times New Roman" w:hAnsi="Times New Roman" w:cs="Times New Roman"/>
          <w:b/>
          <w:sz w:val="24"/>
          <w:szCs w:val="24"/>
        </w:rPr>
      </w:pPr>
      <w:r w:rsidRPr="00931C42">
        <w:rPr>
          <w:rFonts w:ascii="Times New Roman" w:hAnsi="Times New Roman" w:cs="Times New Roman"/>
          <w:b/>
          <w:sz w:val="24"/>
          <w:szCs w:val="24"/>
        </w:rPr>
        <w:t xml:space="preserve">Novela zákona o ochrane pred legalizáciou príjmov z trestnej činnosti a o ochrane pred financovaním terorizmu - predbežná informácia </w:t>
      </w:r>
    </w:p>
    <w:p w:rsidR="00147EB4" w:rsidRPr="00931C42" w:rsidRDefault="00147EB4" w:rsidP="00147EB4">
      <w:pPr>
        <w:spacing w:after="0" w:line="240" w:lineRule="auto"/>
        <w:ind w:left="705" w:hanging="705"/>
        <w:jc w:val="both"/>
        <w:rPr>
          <w:rFonts w:ascii="Times New Roman" w:hAnsi="Times New Roman" w:cs="Times New Roman"/>
          <w:b/>
          <w:sz w:val="24"/>
          <w:szCs w:val="24"/>
        </w:rPr>
      </w:pP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Hoci ide zat</w:t>
      </w:r>
      <w:r w:rsidR="00A57999">
        <w:rPr>
          <w:rFonts w:ascii="Times New Roman" w:hAnsi="Times New Roman" w:cs="Times New Roman"/>
          <w:sz w:val="24"/>
          <w:szCs w:val="24"/>
        </w:rPr>
        <w:t>iaľ len o predbežnú informáciu vplyv na podnikateľské prostredia bude mať aj</w:t>
      </w:r>
      <w:r w:rsidRPr="00931C42">
        <w:rPr>
          <w:rFonts w:ascii="Times New Roman" w:hAnsi="Times New Roman" w:cs="Times New Roman"/>
          <w:sz w:val="24"/>
          <w:szCs w:val="24"/>
        </w:rPr>
        <w:t xml:space="preserve"> návrh zákona, ktorým sa mení a dopĺňa zákon č. 297/2008 Z. z. o ochrane pred legalizáciou príjmov z trestnej činnosti a o ochrane pred financovaním terorizmu, ktorého cieľom je transpozícia smernice Európskeho parlamentu a Rady (EÚ) 2015/849 z 20. 05. 2015 o predchádzaní využívaniu finančného systému na účely </w:t>
      </w:r>
      <w:r w:rsidR="005D5E86">
        <w:rPr>
          <w:rFonts w:ascii="Times New Roman" w:hAnsi="Times New Roman" w:cs="Times New Roman"/>
          <w:sz w:val="24"/>
          <w:szCs w:val="24"/>
        </w:rPr>
        <w:t>„</w:t>
      </w:r>
      <w:r w:rsidRPr="00931C42">
        <w:rPr>
          <w:rFonts w:ascii="Times New Roman" w:hAnsi="Times New Roman" w:cs="Times New Roman"/>
          <w:sz w:val="24"/>
          <w:szCs w:val="24"/>
        </w:rPr>
        <w:t>prania špinavých peňazí</w:t>
      </w:r>
      <w:r w:rsidR="005D5E86">
        <w:rPr>
          <w:rFonts w:ascii="Times New Roman" w:hAnsi="Times New Roman" w:cs="Times New Roman"/>
          <w:sz w:val="24"/>
          <w:szCs w:val="24"/>
        </w:rPr>
        <w:t>“</w:t>
      </w:r>
      <w:r w:rsidRPr="00931C42">
        <w:rPr>
          <w:rFonts w:ascii="Times New Roman" w:hAnsi="Times New Roman" w:cs="Times New Roman"/>
          <w:sz w:val="24"/>
          <w:szCs w:val="24"/>
        </w:rPr>
        <w:t xml:space="preserve"> alebo financovania terorizmu. Zámerom transpozície smernice je najmä upraviť základné podmienky vykonávania starostlivosti vo vzťahu ku klientovi - základnej, zjednodušenej a zvýšenej.</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sidR="005D5E86">
        <w:rPr>
          <w:rFonts w:ascii="Times New Roman" w:hAnsi="Times New Roman" w:cs="Times New Roman"/>
          <w:sz w:val="24"/>
          <w:szCs w:val="24"/>
        </w:rPr>
        <w:t xml:space="preserve">Uvažuje sa o zavedení </w:t>
      </w:r>
      <w:r w:rsidRPr="00931C42">
        <w:rPr>
          <w:rFonts w:ascii="Times New Roman" w:hAnsi="Times New Roman" w:cs="Times New Roman"/>
          <w:sz w:val="24"/>
          <w:szCs w:val="24"/>
        </w:rPr>
        <w:t>povinnos</w:t>
      </w:r>
      <w:r w:rsidR="005D5E86">
        <w:rPr>
          <w:rFonts w:ascii="Times New Roman" w:hAnsi="Times New Roman" w:cs="Times New Roman"/>
          <w:sz w:val="24"/>
          <w:szCs w:val="24"/>
        </w:rPr>
        <w:t>ti</w:t>
      </w:r>
      <w:r w:rsidRPr="00931C42">
        <w:rPr>
          <w:rFonts w:ascii="Times New Roman" w:hAnsi="Times New Roman" w:cs="Times New Roman"/>
          <w:sz w:val="24"/>
          <w:szCs w:val="24"/>
        </w:rPr>
        <w:t xml:space="preserve"> dotknutých osôb identifikovať konečného užívateľa výhod, v listinnej podobe viesť priebežne jeho aktuálne identifikačné údaje a tieto uchovávať ešte po dobu 5 rokov od zániku postavenia konečného užívateľa výhod. </w:t>
      </w:r>
      <w:r w:rsidR="005D5E86">
        <w:rPr>
          <w:rFonts w:ascii="Times New Roman" w:hAnsi="Times New Roman" w:cs="Times New Roman"/>
          <w:sz w:val="24"/>
          <w:szCs w:val="24"/>
        </w:rPr>
        <w:t xml:space="preserve"> </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Limit potrebný pre zaradenie podnikateľského subjektu medzi povinné osoby pri obchodoch v hotovosti </w:t>
      </w:r>
      <w:r w:rsidR="006E4DD5">
        <w:rPr>
          <w:rFonts w:ascii="Times New Roman" w:hAnsi="Times New Roman" w:cs="Times New Roman"/>
          <w:sz w:val="24"/>
          <w:szCs w:val="24"/>
        </w:rPr>
        <w:t xml:space="preserve">by </w:t>
      </w:r>
      <w:r w:rsidRPr="00931C42">
        <w:rPr>
          <w:rFonts w:ascii="Times New Roman" w:hAnsi="Times New Roman" w:cs="Times New Roman"/>
          <w:sz w:val="24"/>
          <w:szCs w:val="24"/>
        </w:rPr>
        <w:t>sa zn</w:t>
      </w:r>
      <w:r w:rsidR="006E4DD5">
        <w:rPr>
          <w:rFonts w:ascii="Times New Roman" w:hAnsi="Times New Roman" w:cs="Times New Roman"/>
          <w:sz w:val="24"/>
          <w:szCs w:val="24"/>
        </w:rPr>
        <w:t>ížil</w:t>
      </w:r>
      <w:r w:rsidRPr="00931C42">
        <w:rPr>
          <w:rFonts w:ascii="Times New Roman" w:hAnsi="Times New Roman" w:cs="Times New Roman"/>
          <w:sz w:val="24"/>
          <w:szCs w:val="24"/>
        </w:rPr>
        <w:t xml:space="preserve"> z pôvodných 15 000 € na 10 000 €. Takisto sa </w:t>
      </w:r>
      <w:r w:rsidR="006E4DD5">
        <w:rPr>
          <w:rFonts w:ascii="Times New Roman" w:hAnsi="Times New Roman" w:cs="Times New Roman"/>
          <w:sz w:val="24"/>
          <w:szCs w:val="24"/>
        </w:rPr>
        <w:t xml:space="preserve">navrhuje </w:t>
      </w:r>
      <w:r w:rsidRPr="00931C42">
        <w:rPr>
          <w:rFonts w:ascii="Times New Roman" w:hAnsi="Times New Roman" w:cs="Times New Roman"/>
          <w:sz w:val="24"/>
          <w:szCs w:val="24"/>
        </w:rPr>
        <w:t>stanov</w:t>
      </w:r>
      <w:r w:rsidR="006E4DD5">
        <w:rPr>
          <w:rFonts w:ascii="Times New Roman" w:hAnsi="Times New Roman" w:cs="Times New Roman"/>
          <w:sz w:val="24"/>
          <w:szCs w:val="24"/>
        </w:rPr>
        <w:t>iť</w:t>
      </w:r>
      <w:r w:rsidRPr="00931C42">
        <w:rPr>
          <w:rFonts w:ascii="Times New Roman" w:hAnsi="Times New Roman" w:cs="Times New Roman"/>
          <w:sz w:val="24"/>
          <w:szCs w:val="24"/>
        </w:rPr>
        <w:t xml:space="preserve"> povinnosť vykonávať základnú starostlivosť pri obchode v hotovosti najmenej 10 000 € a v prípadoch hazardných hier v hodnote najmenej 2</w:t>
      </w:r>
      <w:r>
        <w:rPr>
          <w:rFonts w:ascii="Times New Roman" w:hAnsi="Times New Roman" w:cs="Times New Roman"/>
          <w:sz w:val="24"/>
          <w:szCs w:val="24"/>
        </w:rPr>
        <w:t> </w:t>
      </w:r>
      <w:r w:rsidRPr="00931C42">
        <w:rPr>
          <w:rFonts w:ascii="Times New Roman" w:hAnsi="Times New Roman" w:cs="Times New Roman"/>
          <w:sz w:val="24"/>
          <w:szCs w:val="24"/>
        </w:rPr>
        <w:t xml:space="preserve">000 €. Tieto zmeny majú za cieľ sťažiť možnosť legalizácie metódami využívajúcimi vysoké hotovostné platby. Ďalej sa navrhuje zmeniť hodnotu stanovenú pri povinnosti vykonať identifikáciu klienta a overenie jeho identifikácie z 2 000 € na 1 000 €, ktorá zodpovedá čiastke ustanovenej v osobitných predpisoch. </w:t>
      </w:r>
    </w:p>
    <w:p w:rsidR="00147EB4" w:rsidRPr="00931C42" w:rsidRDefault="00147EB4" w:rsidP="00147EB4">
      <w:pPr>
        <w:spacing w:after="0" w:line="240" w:lineRule="auto"/>
        <w:ind w:firstLine="705"/>
        <w:jc w:val="both"/>
        <w:rPr>
          <w:rFonts w:ascii="Times New Roman" w:hAnsi="Times New Roman" w:cs="Times New Roman"/>
          <w:sz w:val="24"/>
          <w:szCs w:val="24"/>
        </w:rPr>
      </w:pPr>
      <w:r w:rsidRPr="00931C42">
        <w:rPr>
          <w:rFonts w:ascii="Times New Roman" w:hAnsi="Times New Roman" w:cs="Times New Roman"/>
          <w:sz w:val="24"/>
          <w:szCs w:val="24"/>
        </w:rPr>
        <w:t>Účinnosť zákona</w:t>
      </w:r>
      <w:r w:rsidR="00A57999" w:rsidRPr="00931C42">
        <w:rPr>
          <w:rFonts w:ascii="Times New Roman" w:hAnsi="Times New Roman" w:cs="Times New Roman"/>
          <w:sz w:val="24"/>
          <w:szCs w:val="24"/>
        </w:rPr>
        <w:t>, ktorým sa mení a dopĺňa zákon č. 297/2008 Z. z. o ochrane pred legalizáciou príjmov z trestnej činnosti a o ochrane pred financovaním terorizmu</w:t>
      </w:r>
      <w:r w:rsidRPr="00931C42">
        <w:rPr>
          <w:rFonts w:ascii="Times New Roman" w:hAnsi="Times New Roman" w:cs="Times New Roman"/>
          <w:sz w:val="24"/>
          <w:szCs w:val="24"/>
        </w:rPr>
        <w:t xml:space="preserve"> sa navrhuje v</w:t>
      </w:r>
      <w:r w:rsidR="00A57999">
        <w:rPr>
          <w:rFonts w:ascii="Times New Roman" w:hAnsi="Times New Roman" w:cs="Times New Roman"/>
          <w:sz w:val="24"/>
          <w:szCs w:val="24"/>
        </w:rPr>
        <w:t> </w:t>
      </w:r>
      <w:r w:rsidRPr="00931C42">
        <w:rPr>
          <w:rFonts w:ascii="Times New Roman" w:hAnsi="Times New Roman" w:cs="Times New Roman"/>
          <w:sz w:val="24"/>
          <w:szCs w:val="24"/>
        </w:rPr>
        <w:t xml:space="preserve">nadväznosti na transpozičný termín smernice a s prihliadnutím na predpokladanú dĺžku legislatívneho procesu a primeranú </w:t>
      </w:r>
      <w:proofErr w:type="spellStart"/>
      <w:r w:rsidRPr="00931C42">
        <w:rPr>
          <w:rFonts w:ascii="Times New Roman" w:hAnsi="Times New Roman" w:cs="Times New Roman"/>
          <w:sz w:val="24"/>
          <w:szCs w:val="24"/>
        </w:rPr>
        <w:t>legisvakančnú</w:t>
      </w:r>
      <w:proofErr w:type="spellEnd"/>
      <w:r w:rsidRPr="00931C42">
        <w:rPr>
          <w:rFonts w:ascii="Times New Roman" w:hAnsi="Times New Roman" w:cs="Times New Roman"/>
          <w:sz w:val="24"/>
          <w:szCs w:val="24"/>
        </w:rPr>
        <w:t xml:space="preserve"> lehotu na 01. 06. 2017.</w:t>
      </w:r>
    </w:p>
    <w:p w:rsidR="00147EB4" w:rsidRDefault="00147EB4" w:rsidP="00147EB4">
      <w:pPr>
        <w:spacing w:after="0" w:line="240" w:lineRule="auto"/>
        <w:jc w:val="both"/>
        <w:rPr>
          <w:rFonts w:ascii="Times New Roman" w:hAnsi="Times New Roman" w:cs="Times New Roman"/>
          <w:sz w:val="24"/>
          <w:szCs w:val="24"/>
        </w:rPr>
      </w:pPr>
    </w:p>
    <w:p w:rsidR="00147EB4" w:rsidRPr="00931C42" w:rsidRDefault="00DD2FF3" w:rsidP="00147EB4">
      <w:pPr>
        <w:spacing w:after="0" w:line="240" w:lineRule="auto"/>
        <w:ind w:firstLine="4"/>
        <w:jc w:val="both"/>
        <w:rPr>
          <w:rFonts w:ascii="Times New Roman" w:hAnsi="Times New Roman" w:cs="Times New Roman"/>
          <w:b/>
          <w:sz w:val="24"/>
          <w:szCs w:val="24"/>
        </w:rPr>
      </w:pPr>
      <w:r>
        <w:rPr>
          <w:rFonts w:ascii="Times New Roman" w:hAnsi="Times New Roman" w:cs="Times New Roman"/>
          <w:b/>
          <w:sz w:val="24"/>
          <w:szCs w:val="24"/>
        </w:rPr>
        <w:t>Z</w:t>
      </w:r>
      <w:r w:rsidR="00147EB4" w:rsidRPr="00931C42">
        <w:rPr>
          <w:rFonts w:ascii="Times New Roman" w:hAnsi="Times New Roman" w:cs="Times New Roman"/>
          <w:b/>
          <w:sz w:val="24"/>
          <w:szCs w:val="24"/>
        </w:rPr>
        <w:t>amerani</w:t>
      </w:r>
      <w:r>
        <w:rPr>
          <w:rFonts w:ascii="Times New Roman" w:hAnsi="Times New Roman" w:cs="Times New Roman"/>
          <w:b/>
          <w:sz w:val="24"/>
          <w:szCs w:val="24"/>
        </w:rPr>
        <w:t>e</w:t>
      </w:r>
      <w:r w:rsidR="00147EB4" w:rsidRPr="00931C42">
        <w:rPr>
          <w:rFonts w:ascii="Times New Roman" w:hAnsi="Times New Roman" w:cs="Times New Roman"/>
          <w:b/>
          <w:sz w:val="24"/>
          <w:szCs w:val="24"/>
        </w:rPr>
        <w:t xml:space="preserve"> ekonomickej diplomacie v oblasti bilaterálnych a multilaterálnych vzťahov do roku 2020</w:t>
      </w:r>
    </w:p>
    <w:p w:rsidR="00147EB4" w:rsidRPr="00931C42" w:rsidRDefault="00147EB4" w:rsidP="00147EB4">
      <w:pPr>
        <w:spacing w:after="0" w:line="240" w:lineRule="auto"/>
        <w:jc w:val="both"/>
        <w:rPr>
          <w:rFonts w:ascii="Times New Roman" w:hAnsi="Times New Roman" w:cs="Times New Roman"/>
          <w:sz w:val="24"/>
          <w:szCs w:val="24"/>
        </w:rPr>
      </w:pPr>
    </w:p>
    <w:p w:rsidR="00147EB4"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sidR="00DD2FF3">
        <w:rPr>
          <w:rFonts w:ascii="Times New Roman" w:hAnsi="Times New Roman" w:cs="Times New Roman"/>
          <w:sz w:val="24"/>
          <w:szCs w:val="24"/>
        </w:rPr>
        <w:t xml:space="preserve">Uznesením vlády SR č. </w:t>
      </w:r>
      <w:r w:rsidR="00DD2FF3" w:rsidRPr="00DD2FF3">
        <w:rPr>
          <w:rFonts w:ascii="Times New Roman" w:hAnsi="Times New Roman" w:cs="Times New Roman"/>
          <w:sz w:val="24"/>
          <w:szCs w:val="24"/>
        </w:rPr>
        <w:t xml:space="preserve">499/2016 </w:t>
      </w:r>
      <w:r w:rsidR="00DD2FF3">
        <w:rPr>
          <w:rFonts w:ascii="Times New Roman" w:hAnsi="Times New Roman" w:cs="Times New Roman"/>
          <w:sz w:val="24"/>
          <w:szCs w:val="24"/>
        </w:rPr>
        <w:t>bol schválený Návrh z</w:t>
      </w:r>
      <w:r w:rsidRPr="00931C42">
        <w:rPr>
          <w:rFonts w:ascii="Times New Roman" w:hAnsi="Times New Roman" w:cs="Times New Roman"/>
          <w:sz w:val="24"/>
          <w:szCs w:val="24"/>
        </w:rPr>
        <w:t>amerani</w:t>
      </w:r>
      <w:r w:rsidR="00DD2FF3">
        <w:rPr>
          <w:rFonts w:ascii="Times New Roman" w:hAnsi="Times New Roman" w:cs="Times New Roman"/>
          <w:sz w:val="24"/>
          <w:szCs w:val="24"/>
        </w:rPr>
        <w:t>a</w:t>
      </w:r>
      <w:r w:rsidRPr="00931C42">
        <w:rPr>
          <w:rFonts w:ascii="Times New Roman" w:hAnsi="Times New Roman" w:cs="Times New Roman"/>
          <w:sz w:val="24"/>
          <w:szCs w:val="24"/>
        </w:rPr>
        <w:t xml:space="preserve"> ekonomickej diplomacie</w:t>
      </w:r>
      <w:r w:rsidR="00DD2FF3">
        <w:rPr>
          <w:rFonts w:ascii="Times New Roman" w:hAnsi="Times New Roman" w:cs="Times New Roman"/>
          <w:sz w:val="24"/>
          <w:szCs w:val="24"/>
        </w:rPr>
        <w:t xml:space="preserve"> </w:t>
      </w:r>
      <w:r w:rsidR="00DD2FF3" w:rsidRPr="00DD2FF3">
        <w:rPr>
          <w:rFonts w:ascii="Times New Roman" w:hAnsi="Times New Roman" w:cs="Times New Roman"/>
          <w:sz w:val="24"/>
          <w:szCs w:val="24"/>
        </w:rPr>
        <w:t>v oblasti bilaterálnych a multilaterálnych vzťahov do roku 2020</w:t>
      </w:r>
      <w:r w:rsidR="00DD2FF3">
        <w:rPr>
          <w:rFonts w:ascii="Times New Roman" w:hAnsi="Times New Roman" w:cs="Times New Roman"/>
          <w:sz w:val="24"/>
          <w:szCs w:val="24"/>
        </w:rPr>
        <w:t>, ktorý</w:t>
      </w:r>
      <w:r w:rsidRPr="00931C42">
        <w:rPr>
          <w:rFonts w:ascii="Times New Roman" w:hAnsi="Times New Roman" w:cs="Times New Roman"/>
          <w:sz w:val="24"/>
          <w:szCs w:val="24"/>
        </w:rPr>
        <w:t xml:space="preserve"> zohľadňuje prognózu Medzinárodného menového fondu (MMF) o vývoji svetovej ekonomiky do roku 2021 a opiera sa o štatistické výsledky zahraničného obchodu SR. </w:t>
      </w:r>
      <w:r w:rsidR="00DD2FF3">
        <w:rPr>
          <w:rFonts w:ascii="Times New Roman" w:hAnsi="Times New Roman" w:cs="Times New Roman"/>
          <w:sz w:val="24"/>
          <w:szCs w:val="24"/>
        </w:rPr>
        <w:t xml:space="preserve">Materiál </w:t>
      </w:r>
      <w:r w:rsidRPr="00931C42">
        <w:rPr>
          <w:rFonts w:ascii="Times New Roman" w:hAnsi="Times New Roman" w:cs="Times New Roman"/>
          <w:sz w:val="24"/>
          <w:szCs w:val="24"/>
        </w:rPr>
        <w:t xml:space="preserve">reflektuje globálne vývojové trendy a rastúci význam inovačných technológií, ktoré sú zvlášť významné pre malé krajiny s otvorenou ekonomikou ako SR s cieľom dosiahnutia špecializácie a exkluzivity produktov a služieb. </w:t>
      </w:r>
    </w:p>
    <w:p w:rsidR="00D071C6" w:rsidRDefault="00D071C6" w:rsidP="00147EB4">
      <w:pPr>
        <w:spacing w:after="0" w:line="240" w:lineRule="auto"/>
        <w:jc w:val="both"/>
        <w:rPr>
          <w:rFonts w:ascii="Times New Roman" w:hAnsi="Times New Roman" w:cs="Times New Roman"/>
          <w:sz w:val="24"/>
          <w:szCs w:val="24"/>
        </w:rPr>
      </w:pPr>
    </w:p>
    <w:p w:rsidR="00D071C6" w:rsidRDefault="00D071C6" w:rsidP="00147EB4">
      <w:pPr>
        <w:spacing w:after="0" w:line="240" w:lineRule="auto"/>
        <w:jc w:val="both"/>
        <w:rPr>
          <w:rFonts w:ascii="Times New Roman" w:hAnsi="Times New Roman" w:cs="Times New Roman"/>
          <w:sz w:val="24"/>
          <w:szCs w:val="24"/>
        </w:rPr>
      </w:pPr>
    </w:p>
    <w:p w:rsidR="00D071C6" w:rsidRDefault="00D071C6" w:rsidP="00147EB4">
      <w:pPr>
        <w:spacing w:after="0" w:line="240" w:lineRule="auto"/>
        <w:jc w:val="both"/>
        <w:rPr>
          <w:rFonts w:ascii="Times New Roman" w:hAnsi="Times New Roman" w:cs="Times New Roman"/>
          <w:sz w:val="24"/>
          <w:szCs w:val="24"/>
        </w:rPr>
      </w:pPr>
    </w:p>
    <w:p w:rsidR="00D071C6" w:rsidRPr="00931C42" w:rsidRDefault="00D071C6"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center"/>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Vládne </w:t>
      </w:r>
      <w:r w:rsidRPr="00DD2FF3">
        <w:rPr>
          <w:rFonts w:ascii="Times New Roman" w:hAnsi="Times New Roman" w:cs="Times New Roman"/>
          <w:b/>
          <w:sz w:val="24"/>
          <w:szCs w:val="24"/>
        </w:rPr>
        <w:t>nariadenie</w:t>
      </w:r>
      <w:r w:rsidR="00DD2FF3" w:rsidRPr="00DD2FF3">
        <w:rPr>
          <w:rFonts w:ascii="Times New Roman" w:hAnsi="Times New Roman" w:cs="Times New Roman"/>
          <w:b/>
          <w:sz w:val="24"/>
          <w:szCs w:val="24"/>
        </w:rPr>
        <w:t xml:space="preserve"> č. 280/2016</w:t>
      </w:r>
      <w:r w:rsidR="00DD2FF3">
        <w:rPr>
          <w:rFonts w:ascii="Times New Roman" w:hAnsi="Times New Roman" w:cs="Times New Roman"/>
          <w:b/>
          <w:sz w:val="24"/>
          <w:szCs w:val="24"/>
        </w:rPr>
        <w:t xml:space="preserve"> Z. z.</w:t>
      </w:r>
      <w:r w:rsidR="00DD2FF3" w:rsidRPr="00DD2FF3">
        <w:rPr>
          <w:rFonts w:ascii="Times New Roman" w:hAnsi="Times New Roman" w:cs="Times New Roman"/>
          <w:b/>
          <w:sz w:val="24"/>
          <w:szCs w:val="24"/>
        </w:rPr>
        <w:t>, ktorým sa ustanovuje suma minimálnej mzdy na rok 2017</w:t>
      </w:r>
      <w:r>
        <w:rPr>
          <w:rFonts w:ascii="Times New Roman" w:hAnsi="Times New Roman" w:cs="Times New Roman"/>
          <w:b/>
          <w:sz w:val="24"/>
          <w:szCs w:val="24"/>
        </w:rPr>
        <w:t xml:space="preserve"> </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Suma minimálnej mzdy na rok 2017 sa </w:t>
      </w:r>
      <w:r>
        <w:rPr>
          <w:rFonts w:ascii="Times New Roman" w:hAnsi="Times New Roman" w:cs="Times New Roman"/>
          <w:sz w:val="24"/>
          <w:szCs w:val="24"/>
        </w:rPr>
        <w:t xml:space="preserve">oproti roku 2016 zvýšila </w:t>
      </w:r>
      <w:r w:rsidRPr="00931C42">
        <w:rPr>
          <w:rFonts w:ascii="Times New Roman" w:hAnsi="Times New Roman" w:cs="Times New Roman"/>
          <w:sz w:val="24"/>
          <w:szCs w:val="24"/>
        </w:rPr>
        <w:t>na 435 € za mesiac pre zamestnanca odmeňovaného mesačnou mzdou a 2,5 € za každú hodinu odpracovanú zamestnancom.</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ind w:firstLine="708"/>
        <w:jc w:val="both"/>
        <w:rPr>
          <w:rFonts w:ascii="Times New Roman" w:hAnsi="Times New Roman" w:cs="Times New Roman"/>
          <w:i/>
          <w:sz w:val="24"/>
          <w:szCs w:val="24"/>
        </w:rPr>
      </w:pPr>
      <w:r w:rsidRPr="00931C42">
        <w:rPr>
          <w:rFonts w:ascii="Times New Roman" w:hAnsi="Times New Roman" w:cs="Times New Roman"/>
          <w:i/>
          <w:sz w:val="24"/>
          <w:szCs w:val="24"/>
        </w:rPr>
        <w:t xml:space="preserve">Dochádza k zvýšeniu mzdových nákladov z dôvodu zvýšenia sumy minimálnej mzdy (zvýšenie objemu doplatkov). Nadväzne na zvýšenie mzdových nákladov vzrastú odvody do poistných fondov. Zvýšenie objemu doplatkov do navrhovanej sumy minimálnej mzdy u dotknutých podnikateľov vrátane SZČO </w:t>
      </w:r>
      <w:r w:rsidR="00D071C6">
        <w:rPr>
          <w:rFonts w:ascii="Times New Roman" w:hAnsi="Times New Roman" w:cs="Times New Roman"/>
          <w:i/>
          <w:sz w:val="24"/>
          <w:szCs w:val="24"/>
        </w:rPr>
        <w:t>predkladateľ nariadenia vyčíslil</w:t>
      </w:r>
      <w:r w:rsidRPr="00931C42">
        <w:rPr>
          <w:rFonts w:ascii="Times New Roman" w:hAnsi="Times New Roman" w:cs="Times New Roman"/>
          <w:i/>
          <w:sz w:val="24"/>
          <w:szCs w:val="24"/>
        </w:rPr>
        <w:t xml:space="preserve"> na 2 094,3 tis. € mesačne (bez odvodov); v ročnom vyjadrení náklady na doplatky </w:t>
      </w:r>
      <w:r w:rsidR="00D071C6">
        <w:rPr>
          <w:rFonts w:ascii="Times New Roman" w:hAnsi="Times New Roman" w:cs="Times New Roman"/>
          <w:i/>
          <w:sz w:val="24"/>
          <w:szCs w:val="24"/>
        </w:rPr>
        <w:t>boli vyčíslené na</w:t>
      </w:r>
      <w:r w:rsidR="00D071C6" w:rsidRPr="00931C42">
        <w:rPr>
          <w:rFonts w:ascii="Times New Roman" w:hAnsi="Times New Roman" w:cs="Times New Roman"/>
          <w:i/>
          <w:sz w:val="24"/>
          <w:szCs w:val="24"/>
        </w:rPr>
        <w:t xml:space="preserve"> </w:t>
      </w:r>
      <w:r w:rsidRPr="00931C42">
        <w:rPr>
          <w:rFonts w:ascii="Times New Roman" w:hAnsi="Times New Roman" w:cs="Times New Roman"/>
          <w:i/>
          <w:sz w:val="24"/>
          <w:szCs w:val="24"/>
        </w:rPr>
        <w:t xml:space="preserve">cca 25 132,1 tis. € a odvody do poistných fondov z tejto sumy 10 937,2 tis. € ročne. Celkové zvýšenie nákladov </w:t>
      </w:r>
      <w:r w:rsidR="00D071C6">
        <w:rPr>
          <w:rFonts w:ascii="Times New Roman" w:hAnsi="Times New Roman" w:cs="Times New Roman"/>
          <w:i/>
          <w:sz w:val="24"/>
          <w:szCs w:val="24"/>
        </w:rPr>
        <w:t>bolo zo strany predkladateľa</w:t>
      </w:r>
      <w:r w:rsidR="00D071C6" w:rsidRPr="00931C42">
        <w:rPr>
          <w:rFonts w:ascii="Times New Roman" w:hAnsi="Times New Roman" w:cs="Times New Roman"/>
          <w:i/>
          <w:sz w:val="24"/>
          <w:szCs w:val="24"/>
        </w:rPr>
        <w:t xml:space="preserve"> </w:t>
      </w:r>
      <w:r w:rsidRPr="00931C42">
        <w:rPr>
          <w:rFonts w:ascii="Times New Roman" w:hAnsi="Times New Roman" w:cs="Times New Roman"/>
          <w:i/>
          <w:sz w:val="24"/>
          <w:szCs w:val="24"/>
        </w:rPr>
        <w:t>odhadn</w:t>
      </w:r>
      <w:r w:rsidR="00D071C6">
        <w:rPr>
          <w:rFonts w:ascii="Times New Roman" w:hAnsi="Times New Roman" w:cs="Times New Roman"/>
          <w:i/>
          <w:sz w:val="24"/>
          <w:szCs w:val="24"/>
        </w:rPr>
        <w:t>uté</w:t>
      </w:r>
      <w:r w:rsidRPr="00931C42">
        <w:rPr>
          <w:rFonts w:ascii="Times New Roman" w:hAnsi="Times New Roman" w:cs="Times New Roman"/>
          <w:i/>
          <w:sz w:val="24"/>
          <w:szCs w:val="24"/>
        </w:rPr>
        <w:t xml:space="preserve"> na cca 36 069,3 tis. € ročne.</w:t>
      </w:r>
    </w:p>
    <w:p w:rsidR="00147EB4" w:rsidRDefault="00147EB4" w:rsidP="00147EB4">
      <w:pPr>
        <w:spacing w:after="0" w:line="240" w:lineRule="auto"/>
        <w:jc w:val="both"/>
        <w:rPr>
          <w:rFonts w:ascii="Times New Roman" w:hAnsi="Times New Roman" w:cs="Times New Roman"/>
          <w:sz w:val="24"/>
          <w:szCs w:val="24"/>
        </w:rPr>
      </w:pPr>
    </w:p>
    <w:p w:rsidR="00147EB4" w:rsidRPr="00287F59" w:rsidRDefault="00147EB4" w:rsidP="00147EB4">
      <w:pPr>
        <w:spacing w:after="0" w:line="240" w:lineRule="auto"/>
        <w:ind w:firstLine="4"/>
        <w:jc w:val="both"/>
        <w:rPr>
          <w:rFonts w:ascii="Times New Roman" w:hAnsi="Times New Roman" w:cs="Times New Roman"/>
          <w:b/>
          <w:sz w:val="24"/>
          <w:szCs w:val="24"/>
        </w:rPr>
      </w:pPr>
      <w:r>
        <w:rPr>
          <w:rFonts w:ascii="Times New Roman" w:hAnsi="Times New Roman" w:cs="Times New Roman"/>
          <w:b/>
          <w:sz w:val="24"/>
          <w:szCs w:val="24"/>
        </w:rPr>
        <w:t>Z</w:t>
      </w:r>
      <w:r w:rsidRPr="00287F59">
        <w:rPr>
          <w:rFonts w:ascii="Times New Roman" w:hAnsi="Times New Roman" w:cs="Times New Roman"/>
          <w:b/>
          <w:sz w:val="24"/>
          <w:szCs w:val="24"/>
        </w:rPr>
        <w:t>ákon o niektorých pravidlách uplatňovania nárokov na náhradu škody vzniknutej porušením práva hospodárskej súťaže členských štátov Európskej únie a práva hospodárskej súťaže Európskej únie</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r w:rsidR="00E23690">
        <w:rPr>
          <w:rFonts w:ascii="Times New Roman" w:hAnsi="Times New Roman" w:cs="Times New Roman"/>
          <w:sz w:val="24"/>
          <w:szCs w:val="24"/>
        </w:rPr>
        <w:t>NR</w:t>
      </w:r>
      <w:r w:rsidRPr="00931C42">
        <w:rPr>
          <w:rFonts w:ascii="Times New Roman" w:hAnsi="Times New Roman" w:cs="Times New Roman"/>
          <w:sz w:val="24"/>
          <w:szCs w:val="24"/>
        </w:rPr>
        <w:t xml:space="preserve"> SR </w:t>
      </w:r>
      <w:r w:rsidR="00535648" w:rsidRPr="00535648">
        <w:rPr>
          <w:rFonts w:ascii="Times New Roman" w:hAnsi="Times New Roman" w:cs="Times New Roman"/>
          <w:sz w:val="24"/>
          <w:szCs w:val="24"/>
        </w:rPr>
        <w:t xml:space="preserve">29. 11. 2016 </w:t>
      </w:r>
      <w:r w:rsidRPr="00931C42">
        <w:rPr>
          <w:rFonts w:ascii="Times New Roman" w:hAnsi="Times New Roman" w:cs="Times New Roman"/>
          <w:sz w:val="24"/>
          <w:szCs w:val="24"/>
        </w:rPr>
        <w:t xml:space="preserve">schválila </w:t>
      </w:r>
      <w:r w:rsidR="001639A4">
        <w:rPr>
          <w:rFonts w:ascii="Times New Roman" w:hAnsi="Times New Roman" w:cs="Times New Roman"/>
          <w:sz w:val="24"/>
          <w:szCs w:val="24"/>
        </w:rPr>
        <w:t>v</w:t>
      </w:r>
      <w:r w:rsidR="001639A4" w:rsidRPr="001639A4">
        <w:rPr>
          <w:rFonts w:ascii="Times New Roman" w:hAnsi="Times New Roman" w:cs="Times New Roman"/>
          <w:sz w:val="24"/>
          <w:szCs w:val="24"/>
        </w:rPr>
        <w:t>ládny návrh zákona o niektorých pravidlách uplatňovania nárokov na náhradu škody spôsobenej porušením práva hospodárskej súťaže a</w:t>
      </w:r>
      <w:r w:rsidR="001639A4">
        <w:rPr>
          <w:rFonts w:ascii="Times New Roman" w:hAnsi="Times New Roman" w:cs="Times New Roman"/>
          <w:sz w:val="24"/>
          <w:szCs w:val="24"/>
        </w:rPr>
        <w:t> </w:t>
      </w:r>
      <w:r w:rsidR="001639A4" w:rsidRPr="001639A4">
        <w:rPr>
          <w:rFonts w:ascii="Times New Roman" w:hAnsi="Times New Roman" w:cs="Times New Roman"/>
          <w:sz w:val="24"/>
          <w:szCs w:val="24"/>
        </w:rPr>
        <w:t>ktorým sa mení a dopĺňa zákon č. 136/2001 Z. z. o ochrane hospodárskej súťaže a o zmene a</w:t>
      </w:r>
      <w:r w:rsidR="001639A4">
        <w:rPr>
          <w:rFonts w:ascii="Times New Roman" w:hAnsi="Times New Roman" w:cs="Times New Roman"/>
          <w:sz w:val="24"/>
          <w:szCs w:val="24"/>
        </w:rPr>
        <w:t> </w:t>
      </w:r>
      <w:r w:rsidR="001639A4" w:rsidRPr="001639A4">
        <w:rPr>
          <w:rFonts w:ascii="Times New Roman" w:hAnsi="Times New Roman" w:cs="Times New Roman"/>
          <w:sz w:val="24"/>
          <w:szCs w:val="24"/>
        </w:rPr>
        <w:t>doplnení zákona Slovenskej národnej rady č. 347/1990 Zb. o organizácii ministerstiev a</w:t>
      </w:r>
      <w:r w:rsidR="001639A4">
        <w:rPr>
          <w:rFonts w:ascii="Times New Roman" w:hAnsi="Times New Roman" w:cs="Times New Roman"/>
          <w:sz w:val="24"/>
          <w:szCs w:val="24"/>
        </w:rPr>
        <w:t> </w:t>
      </w:r>
      <w:r w:rsidR="001639A4" w:rsidRPr="001639A4">
        <w:rPr>
          <w:rFonts w:ascii="Times New Roman" w:hAnsi="Times New Roman" w:cs="Times New Roman"/>
          <w:sz w:val="24"/>
          <w:szCs w:val="24"/>
        </w:rPr>
        <w:t>ostatných ústredných orgánov štátnej správy Slovenskej republiky v znení neskorších predpisov</w:t>
      </w:r>
      <w:r>
        <w:rPr>
          <w:rFonts w:ascii="Times New Roman" w:hAnsi="Times New Roman" w:cs="Times New Roman"/>
          <w:sz w:val="24"/>
          <w:szCs w:val="24"/>
        </w:rPr>
        <w:t>.</w:t>
      </w:r>
      <w:r w:rsidR="001639A4">
        <w:rPr>
          <w:rFonts w:ascii="Times New Roman" w:hAnsi="Times New Roman" w:cs="Times New Roman"/>
          <w:sz w:val="24"/>
          <w:szCs w:val="24"/>
        </w:rPr>
        <w:t xml:space="preserve"> </w:t>
      </w:r>
      <w:r w:rsidR="0023470B">
        <w:rPr>
          <w:rFonts w:ascii="Times New Roman" w:hAnsi="Times New Roman" w:cs="Times New Roman"/>
          <w:sz w:val="24"/>
          <w:szCs w:val="24"/>
        </w:rPr>
        <w:t xml:space="preserve">Tento zákon v </w:t>
      </w:r>
      <w:r w:rsidRPr="00931C42">
        <w:rPr>
          <w:rFonts w:ascii="Times New Roman" w:hAnsi="Times New Roman" w:cs="Times New Roman"/>
          <w:sz w:val="24"/>
          <w:szCs w:val="24"/>
        </w:rPr>
        <w:t>záujme zvyšovania právnej istoty umožní požadovať náhradu škody v</w:t>
      </w:r>
      <w:r w:rsidR="0023470B">
        <w:rPr>
          <w:rFonts w:ascii="Times New Roman" w:hAnsi="Times New Roman" w:cs="Times New Roman"/>
          <w:sz w:val="24"/>
          <w:szCs w:val="24"/>
        </w:rPr>
        <w:t> </w:t>
      </w:r>
      <w:r w:rsidRPr="00931C42">
        <w:rPr>
          <w:rFonts w:ascii="Times New Roman" w:hAnsi="Times New Roman" w:cs="Times New Roman"/>
          <w:sz w:val="24"/>
          <w:szCs w:val="24"/>
        </w:rPr>
        <w:t>reťazci súťažiteľov na relevantnom trhu. Pri rozhodovaní o náhrade škody je v časti výroku o porušení práva hospodárskej súťaže súd viazaný právoplatným rozhodnutím Protimonopolného úradu SR alebo konečným rozhodnutím súdu preskúmavajúceho toto rozhodnutie a pri rozhodovaní môže súd ako na dôkaz v konaní prihliadnuť aj na konečné rozhodnutie o porušení práva hospodárskej súťaže vydané v inom členskom štáte EÚ.</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147EB4" w:rsidP="00147EB4">
      <w:pPr>
        <w:spacing w:after="0" w:line="240" w:lineRule="auto"/>
        <w:ind w:firstLine="708"/>
        <w:jc w:val="both"/>
        <w:rPr>
          <w:rFonts w:ascii="Times New Roman" w:hAnsi="Times New Roman" w:cs="Times New Roman"/>
          <w:i/>
          <w:sz w:val="24"/>
          <w:szCs w:val="24"/>
        </w:rPr>
      </w:pPr>
      <w:r w:rsidRPr="00931C42">
        <w:rPr>
          <w:rFonts w:ascii="Times New Roman" w:hAnsi="Times New Roman" w:cs="Times New Roman"/>
          <w:i/>
          <w:sz w:val="24"/>
          <w:szCs w:val="24"/>
        </w:rPr>
        <w:t>Priame, nepriame ani administratívne náklady pre podnikateľov sa nepredpokladajú.</w:t>
      </w:r>
    </w:p>
    <w:p w:rsidR="00147EB4" w:rsidRPr="00931C42" w:rsidRDefault="00147EB4" w:rsidP="00147EB4">
      <w:pPr>
        <w:spacing w:before="100" w:beforeAutospacing="1" w:after="100" w:afterAutospacing="1" w:line="240" w:lineRule="auto"/>
        <w:jc w:val="both"/>
        <w:rPr>
          <w:rFonts w:ascii="Times New Roman" w:eastAsia="Times New Roman" w:hAnsi="Times New Roman" w:cs="Times New Roman"/>
          <w:b/>
          <w:sz w:val="24"/>
          <w:szCs w:val="24"/>
          <w:lang w:eastAsia="sk-SK"/>
        </w:rPr>
      </w:pPr>
      <w:r w:rsidRPr="00931C42">
        <w:rPr>
          <w:rFonts w:ascii="Times New Roman" w:eastAsia="Times New Roman" w:hAnsi="Times New Roman" w:cs="Times New Roman"/>
          <w:b/>
          <w:sz w:val="24"/>
          <w:szCs w:val="24"/>
          <w:lang w:eastAsia="sk-SK"/>
        </w:rPr>
        <w:t>Zákon o podpore malého a stredného podnikania</w:t>
      </w:r>
    </w:p>
    <w:p w:rsidR="00147EB4" w:rsidRPr="00931C42" w:rsidRDefault="00E23690" w:rsidP="00147EB4">
      <w:pPr>
        <w:spacing w:after="0" w:line="240" w:lineRule="auto"/>
        <w:ind w:firstLine="709"/>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NR</w:t>
      </w:r>
      <w:r w:rsidR="00147EB4" w:rsidRPr="00931C42">
        <w:rPr>
          <w:rFonts w:ascii="Times New Roman" w:eastAsia="Times New Roman" w:hAnsi="Times New Roman" w:cs="Times New Roman"/>
          <w:sz w:val="24"/>
          <w:szCs w:val="24"/>
          <w:lang w:eastAsia="sk-SK"/>
        </w:rPr>
        <w:t xml:space="preserve"> </w:t>
      </w:r>
      <w:r w:rsidR="00D2712C">
        <w:rPr>
          <w:rFonts w:ascii="Times New Roman" w:eastAsia="Times New Roman" w:hAnsi="Times New Roman" w:cs="Times New Roman"/>
          <w:sz w:val="24"/>
          <w:szCs w:val="24"/>
          <w:lang w:eastAsia="sk-SK"/>
        </w:rPr>
        <w:t>SR</w:t>
      </w:r>
      <w:r w:rsidR="00850363">
        <w:rPr>
          <w:rFonts w:ascii="Times New Roman" w:eastAsia="Times New Roman" w:hAnsi="Times New Roman" w:cs="Times New Roman"/>
          <w:sz w:val="24"/>
          <w:szCs w:val="24"/>
          <w:lang w:eastAsia="sk-SK"/>
        </w:rPr>
        <w:t xml:space="preserve"> </w:t>
      </w:r>
      <w:r w:rsidR="00147EB4">
        <w:rPr>
          <w:rFonts w:ascii="Times New Roman" w:eastAsia="Times New Roman" w:hAnsi="Times New Roman" w:cs="Times New Roman"/>
          <w:sz w:val="24"/>
          <w:szCs w:val="24"/>
          <w:lang w:eastAsia="sk-SK"/>
        </w:rPr>
        <w:t xml:space="preserve">11. 10. 2016 </w:t>
      </w:r>
      <w:r w:rsidR="00147EB4" w:rsidRPr="00931C42">
        <w:rPr>
          <w:rFonts w:ascii="Times New Roman" w:eastAsia="Times New Roman" w:hAnsi="Times New Roman" w:cs="Times New Roman"/>
          <w:sz w:val="24"/>
          <w:szCs w:val="24"/>
          <w:lang w:eastAsia="sk-SK"/>
        </w:rPr>
        <w:t xml:space="preserve">schválila zákon </w:t>
      </w:r>
      <w:r w:rsidR="00967C96">
        <w:rPr>
          <w:rFonts w:ascii="Times New Roman" w:eastAsia="Times New Roman" w:hAnsi="Times New Roman" w:cs="Times New Roman"/>
          <w:sz w:val="24"/>
          <w:szCs w:val="24"/>
          <w:lang w:eastAsia="sk-SK"/>
        </w:rPr>
        <w:t xml:space="preserve">č. 290/2016 Z. z. </w:t>
      </w:r>
      <w:r w:rsidR="00147EB4" w:rsidRPr="00931C42">
        <w:rPr>
          <w:rFonts w:ascii="Times New Roman" w:eastAsia="Times New Roman" w:hAnsi="Times New Roman" w:cs="Times New Roman"/>
          <w:sz w:val="24"/>
          <w:szCs w:val="24"/>
          <w:lang w:eastAsia="sk-SK"/>
        </w:rPr>
        <w:t>o podpore malého a stredného podnikania a o zmene a doplnení zákona č. 71/2013 Z. z. o poskytovaní dotácií v pôsobnosti MH</w:t>
      </w:r>
      <w:r w:rsidR="00147EB4">
        <w:rPr>
          <w:rFonts w:ascii="Times New Roman" w:eastAsia="Times New Roman" w:hAnsi="Times New Roman" w:cs="Times New Roman"/>
          <w:sz w:val="24"/>
          <w:szCs w:val="24"/>
          <w:lang w:eastAsia="sk-SK"/>
        </w:rPr>
        <w:t> </w:t>
      </w:r>
      <w:r w:rsidR="00147EB4" w:rsidRPr="00931C42">
        <w:rPr>
          <w:rFonts w:ascii="Times New Roman" w:eastAsia="Times New Roman" w:hAnsi="Times New Roman" w:cs="Times New Roman"/>
          <w:sz w:val="24"/>
          <w:szCs w:val="24"/>
          <w:lang w:eastAsia="sk-SK"/>
        </w:rPr>
        <w:t>S</w:t>
      </w:r>
      <w:r w:rsidR="00B12492">
        <w:rPr>
          <w:rFonts w:ascii="Times New Roman" w:eastAsia="Times New Roman" w:hAnsi="Times New Roman" w:cs="Times New Roman"/>
          <w:sz w:val="24"/>
          <w:szCs w:val="24"/>
          <w:lang w:eastAsia="sk-SK"/>
        </w:rPr>
        <w:t>R v znení neskorších predpisov, ktorý nadobudne účinnosť 01. 01. 2017.</w:t>
      </w:r>
    </w:p>
    <w:p w:rsidR="00147EB4" w:rsidRPr="00931C42" w:rsidRDefault="00147EB4" w:rsidP="00147EB4">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MH SR môže v zákonom vymedzených oblastiach podpory poskytnúť podporu priamou formou</w:t>
      </w:r>
      <w:r w:rsidR="00617043">
        <w:rPr>
          <w:rFonts w:ascii="Times New Roman" w:hAnsi="Times New Roman" w:cs="Times New Roman"/>
          <w:sz w:val="24"/>
          <w:szCs w:val="24"/>
        </w:rPr>
        <w:t xml:space="preserve"> </w:t>
      </w:r>
      <w:r w:rsidRPr="00931C42">
        <w:rPr>
          <w:rFonts w:ascii="Times New Roman" w:hAnsi="Times New Roman" w:cs="Times New Roman"/>
          <w:sz w:val="24"/>
          <w:szCs w:val="24"/>
        </w:rPr>
        <w:t xml:space="preserve">ako nenávratný finančný príspevok, </w:t>
      </w:r>
      <w:r w:rsidR="00967C96">
        <w:rPr>
          <w:rFonts w:ascii="Times New Roman" w:hAnsi="Times New Roman" w:cs="Times New Roman"/>
          <w:sz w:val="24"/>
          <w:szCs w:val="24"/>
        </w:rPr>
        <w:t xml:space="preserve">či </w:t>
      </w:r>
      <w:r w:rsidRPr="00931C42">
        <w:rPr>
          <w:rFonts w:ascii="Times New Roman" w:hAnsi="Times New Roman" w:cs="Times New Roman"/>
          <w:sz w:val="24"/>
          <w:szCs w:val="24"/>
        </w:rPr>
        <w:t xml:space="preserve">dotáciu, alebo iný finančný nástroj podľa osobitného predpisu - európske investičné a štrukturálne fondy, alebo nepriamou formou ako podanie informácie a poskytnutie poradenstva, vzdelávanie, </w:t>
      </w:r>
      <w:proofErr w:type="spellStart"/>
      <w:r w:rsidRPr="00931C42">
        <w:rPr>
          <w:rFonts w:ascii="Times New Roman" w:hAnsi="Times New Roman" w:cs="Times New Roman"/>
          <w:sz w:val="24"/>
          <w:szCs w:val="24"/>
        </w:rPr>
        <w:t>voucher</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koučing</w:t>
      </w:r>
      <w:proofErr w:type="spellEnd"/>
      <w:r w:rsidRPr="00931C42">
        <w:rPr>
          <w:rFonts w:ascii="Times New Roman" w:hAnsi="Times New Roman" w:cs="Times New Roman"/>
          <w:sz w:val="24"/>
          <w:szCs w:val="24"/>
        </w:rPr>
        <w:t>, </w:t>
      </w:r>
      <w:proofErr w:type="spellStart"/>
      <w:r w:rsidRPr="00931C42">
        <w:rPr>
          <w:rFonts w:ascii="Times New Roman" w:hAnsi="Times New Roman" w:cs="Times New Roman"/>
          <w:sz w:val="24"/>
          <w:szCs w:val="24"/>
        </w:rPr>
        <w:t>mentoring</w:t>
      </w:r>
      <w:proofErr w:type="spellEnd"/>
      <w:r w:rsidRPr="00931C42">
        <w:rPr>
          <w:rFonts w:ascii="Times New Roman" w:hAnsi="Times New Roman" w:cs="Times New Roman"/>
          <w:sz w:val="24"/>
          <w:szCs w:val="24"/>
        </w:rPr>
        <w:t xml:space="preserve"> a lepšiu reguláciu. K nepriamej </w:t>
      </w:r>
      <w:r w:rsidR="00967C96">
        <w:rPr>
          <w:rFonts w:ascii="Times New Roman" w:hAnsi="Times New Roman" w:cs="Times New Roman"/>
          <w:sz w:val="24"/>
          <w:szCs w:val="24"/>
        </w:rPr>
        <w:t xml:space="preserve">forme podpory </w:t>
      </w:r>
      <w:r w:rsidRPr="00931C42">
        <w:rPr>
          <w:rFonts w:ascii="Times New Roman" w:hAnsi="Times New Roman" w:cs="Times New Roman"/>
          <w:sz w:val="24"/>
          <w:szCs w:val="24"/>
        </w:rPr>
        <w:t xml:space="preserve">zaraďujeme aj podporu účasti na stážach, súťažiach a výstavách. </w:t>
      </w:r>
    </w:p>
    <w:p w:rsidR="00147EB4" w:rsidRPr="00931C42" w:rsidRDefault="00147EB4" w:rsidP="00147EB4">
      <w:pPr>
        <w:spacing w:after="0" w:line="240" w:lineRule="auto"/>
        <w:jc w:val="both"/>
      </w:pPr>
    </w:p>
    <w:p w:rsidR="00147EB4" w:rsidRPr="00931C42" w:rsidRDefault="00147EB4" w:rsidP="00147EB4">
      <w:pPr>
        <w:spacing w:after="0" w:line="240" w:lineRule="auto"/>
        <w:jc w:val="both"/>
        <w:rPr>
          <w:rFonts w:ascii="Times New Roman" w:hAnsi="Times New Roman" w:cs="Times New Roman"/>
          <w:b/>
          <w:sz w:val="24"/>
          <w:szCs w:val="24"/>
          <w:lang w:eastAsia="sk-SK"/>
        </w:rPr>
      </w:pPr>
      <w:r>
        <w:rPr>
          <w:rFonts w:ascii="Times New Roman" w:hAnsi="Times New Roman" w:cs="Times New Roman"/>
          <w:b/>
          <w:sz w:val="24"/>
          <w:szCs w:val="24"/>
        </w:rPr>
        <w:t>Z</w:t>
      </w:r>
      <w:r w:rsidRPr="00931C42">
        <w:rPr>
          <w:rFonts w:ascii="Times New Roman" w:hAnsi="Times New Roman" w:cs="Times New Roman"/>
          <w:b/>
          <w:sz w:val="24"/>
          <w:szCs w:val="24"/>
        </w:rPr>
        <w:t xml:space="preserve">ákon o </w:t>
      </w:r>
      <w:proofErr w:type="spellStart"/>
      <w:r w:rsidRPr="00931C42">
        <w:rPr>
          <w:rFonts w:ascii="Times New Roman" w:hAnsi="Times New Roman" w:cs="Times New Roman"/>
          <w:b/>
          <w:sz w:val="24"/>
          <w:szCs w:val="24"/>
        </w:rPr>
        <w:t>upomínacom</w:t>
      </w:r>
      <w:proofErr w:type="spellEnd"/>
      <w:r w:rsidRPr="00931C42">
        <w:rPr>
          <w:rFonts w:ascii="Times New Roman" w:hAnsi="Times New Roman" w:cs="Times New Roman"/>
          <w:b/>
          <w:sz w:val="24"/>
          <w:szCs w:val="24"/>
        </w:rPr>
        <w:t xml:space="preserve"> konaní</w:t>
      </w:r>
    </w:p>
    <w:p w:rsidR="00147EB4" w:rsidRPr="00931C42" w:rsidRDefault="00147EB4" w:rsidP="00147EB4">
      <w:pPr>
        <w:spacing w:after="0" w:line="240" w:lineRule="auto"/>
        <w:jc w:val="both"/>
        <w:rPr>
          <w:rFonts w:ascii="Times New Roman" w:hAnsi="Times New Roman" w:cs="Times New Roman"/>
          <w:sz w:val="24"/>
          <w:szCs w:val="24"/>
        </w:rPr>
      </w:pPr>
    </w:p>
    <w:p w:rsidR="00147EB4" w:rsidRPr="00931C42" w:rsidRDefault="00E23690" w:rsidP="00147EB4">
      <w:pPr>
        <w:spacing w:after="0" w:line="240" w:lineRule="auto"/>
        <w:ind w:firstLine="708"/>
        <w:jc w:val="both"/>
        <w:rPr>
          <w:rFonts w:ascii="Times New Roman" w:hAnsi="Times New Roman" w:cs="Times New Roman"/>
          <w:sz w:val="24"/>
          <w:szCs w:val="24"/>
        </w:rPr>
      </w:pPr>
      <w:r w:rsidRPr="00287F59">
        <w:rPr>
          <w:rFonts w:ascii="Times New Roman" w:hAnsi="Times New Roman" w:cs="Times New Roman"/>
          <w:sz w:val="24"/>
          <w:szCs w:val="24"/>
        </w:rPr>
        <w:t xml:space="preserve">Zákon </w:t>
      </w:r>
      <w:r>
        <w:rPr>
          <w:rFonts w:ascii="Times New Roman" w:hAnsi="Times New Roman" w:cs="Times New Roman"/>
          <w:sz w:val="24"/>
          <w:szCs w:val="24"/>
        </w:rPr>
        <w:t xml:space="preserve">č. 307/2016 Z. z. </w:t>
      </w:r>
      <w:r w:rsidRPr="00287F59">
        <w:rPr>
          <w:rFonts w:ascii="Times New Roman" w:hAnsi="Times New Roman" w:cs="Times New Roman"/>
          <w:sz w:val="24"/>
          <w:szCs w:val="24"/>
        </w:rPr>
        <w:t xml:space="preserve">o </w:t>
      </w:r>
      <w:proofErr w:type="spellStart"/>
      <w:r w:rsidRPr="00287F59">
        <w:rPr>
          <w:rFonts w:ascii="Times New Roman" w:hAnsi="Times New Roman" w:cs="Times New Roman"/>
          <w:sz w:val="24"/>
          <w:szCs w:val="24"/>
        </w:rPr>
        <w:t>upomínacom</w:t>
      </w:r>
      <w:proofErr w:type="spellEnd"/>
      <w:r w:rsidRPr="00287F59">
        <w:rPr>
          <w:rFonts w:ascii="Times New Roman" w:hAnsi="Times New Roman" w:cs="Times New Roman"/>
          <w:sz w:val="24"/>
          <w:szCs w:val="24"/>
        </w:rPr>
        <w:t xml:space="preserve"> konaní </w:t>
      </w:r>
      <w:r w:rsidR="00147EB4" w:rsidRPr="00287F59">
        <w:rPr>
          <w:rFonts w:ascii="Times New Roman" w:hAnsi="Times New Roman" w:cs="Times New Roman"/>
          <w:sz w:val="24"/>
          <w:szCs w:val="24"/>
        </w:rPr>
        <w:t xml:space="preserve">novelizuje </w:t>
      </w:r>
      <w:r>
        <w:rPr>
          <w:rFonts w:ascii="Times New Roman" w:hAnsi="Times New Roman" w:cs="Times New Roman"/>
          <w:sz w:val="24"/>
          <w:szCs w:val="24"/>
        </w:rPr>
        <w:t>z</w:t>
      </w:r>
      <w:r w:rsidR="00147EB4" w:rsidRPr="00287F59">
        <w:rPr>
          <w:rFonts w:ascii="Times New Roman" w:hAnsi="Times New Roman" w:cs="Times New Roman"/>
          <w:sz w:val="24"/>
          <w:szCs w:val="24"/>
        </w:rPr>
        <w:t xml:space="preserve">ákon </w:t>
      </w:r>
      <w:r w:rsidR="00147EB4">
        <w:rPr>
          <w:rFonts w:ascii="Times New Roman" w:hAnsi="Times New Roman" w:cs="Times New Roman"/>
          <w:sz w:val="24"/>
          <w:szCs w:val="24"/>
        </w:rPr>
        <w:t xml:space="preserve">č. 71/1992 Zb. </w:t>
      </w:r>
      <w:r w:rsidR="00147EB4" w:rsidRPr="00287F59">
        <w:rPr>
          <w:rFonts w:ascii="Times New Roman" w:hAnsi="Times New Roman" w:cs="Times New Roman"/>
          <w:sz w:val="24"/>
          <w:szCs w:val="24"/>
        </w:rPr>
        <w:t>o</w:t>
      </w:r>
      <w:r w:rsidR="00C73D24">
        <w:rPr>
          <w:rFonts w:ascii="Times New Roman" w:hAnsi="Times New Roman" w:cs="Times New Roman"/>
          <w:sz w:val="24"/>
          <w:szCs w:val="24"/>
        </w:rPr>
        <w:t> </w:t>
      </w:r>
      <w:r w:rsidR="00147EB4" w:rsidRPr="00287F59">
        <w:rPr>
          <w:rFonts w:ascii="Times New Roman" w:hAnsi="Times New Roman" w:cs="Times New Roman"/>
          <w:sz w:val="24"/>
          <w:szCs w:val="24"/>
        </w:rPr>
        <w:t>súdnych poplatkoch</w:t>
      </w:r>
      <w:r w:rsidR="00147EB4">
        <w:rPr>
          <w:rFonts w:ascii="Times New Roman" w:hAnsi="Times New Roman" w:cs="Times New Roman"/>
          <w:sz w:val="24"/>
          <w:szCs w:val="24"/>
        </w:rPr>
        <w:t xml:space="preserve"> a poplatku za výpis z registra trestov</w:t>
      </w:r>
      <w:r w:rsidR="00147EB4" w:rsidRPr="00287F59">
        <w:rPr>
          <w:rFonts w:ascii="Times New Roman" w:hAnsi="Times New Roman" w:cs="Times New Roman"/>
          <w:sz w:val="24"/>
          <w:szCs w:val="24"/>
        </w:rPr>
        <w:t xml:space="preserve"> a aj </w:t>
      </w:r>
      <w:r>
        <w:rPr>
          <w:rFonts w:ascii="Times New Roman" w:hAnsi="Times New Roman" w:cs="Times New Roman"/>
          <w:sz w:val="24"/>
          <w:szCs w:val="24"/>
        </w:rPr>
        <w:t>z</w:t>
      </w:r>
      <w:r w:rsidR="00147EB4" w:rsidRPr="00287F59">
        <w:rPr>
          <w:rFonts w:ascii="Times New Roman" w:hAnsi="Times New Roman" w:cs="Times New Roman"/>
          <w:sz w:val="24"/>
          <w:szCs w:val="24"/>
        </w:rPr>
        <w:t>ákon</w:t>
      </w:r>
      <w:r w:rsidR="00147EB4">
        <w:rPr>
          <w:rFonts w:ascii="Times New Roman" w:hAnsi="Times New Roman" w:cs="Times New Roman"/>
          <w:sz w:val="24"/>
          <w:szCs w:val="24"/>
        </w:rPr>
        <w:t xml:space="preserve"> č.</w:t>
      </w:r>
      <w:r>
        <w:rPr>
          <w:rFonts w:ascii="Times New Roman" w:hAnsi="Times New Roman" w:cs="Times New Roman"/>
          <w:sz w:val="24"/>
          <w:szCs w:val="24"/>
        </w:rPr>
        <w:t> </w:t>
      </w:r>
      <w:r w:rsidR="00147EB4">
        <w:rPr>
          <w:rFonts w:ascii="Times New Roman" w:hAnsi="Times New Roman" w:cs="Times New Roman"/>
          <w:sz w:val="24"/>
          <w:szCs w:val="24"/>
        </w:rPr>
        <w:t xml:space="preserve">549/2003 Z. z. </w:t>
      </w:r>
      <w:r w:rsidR="00147EB4" w:rsidRPr="00287F59">
        <w:rPr>
          <w:rFonts w:ascii="Times New Roman" w:hAnsi="Times New Roman" w:cs="Times New Roman"/>
          <w:sz w:val="24"/>
          <w:szCs w:val="24"/>
        </w:rPr>
        <w:t>o</w:t>
      </w:r>
      <w:r w:rsidR="00C73D24">
        <w:rPr>
          <w:rFonts w:ascii="Times New Roman" w:hAnsi="Times New Roman" w:cs="Times New Roman"/>
          <w:sz w:val="24"/>
          <w:szCs w:val="24"/>
        </w:rPr>
        <w:t> </w:t>
      </w:r>
      <w:r w:rsidR="00147EB4" w:rsidRPr="00287F59">
        <w:rPr>
          <w:rFonts w:ascii="Times New Roman" w:hAnsi="Times New Roman" w:cs="Times New Roman"/>
          <w:sz w:val="24"/>
          <w:szCs w:val="24"/>
        </w:rPr>
        <w:t>súdnych úradníkoch, ktorým zveruje rozhodovanie o elektronických platobných rozkazoch</w:t>
      </w:r>
      <w:r w:rsidR="00147EB4">
        <w:rPr>
          <w:rFonts w:ascii="Times New Roman" w:hAnsi="Times New Roman" w:cs="Times New Roman"/>
          <w:sz w:val="24"/>
          <w:szCs w:val="24"/>
        </w:rPr>
        <w:t xml:space="preserve">. </w:t>
      </w:r>
      <w:r>
        <w:rPr>
          <w:rFonts w:ascii="Times New Roman" w:hAnsi="Times New Roman" w:cs="Times New Roman"/>
          <w:sz w:val="24"/>
          <w:szCs w:val="24"/>
        </w:rPr>
        <w:t>U</w:t>
      </w:r>
      <w:r w:rsidR="00147EB4" w:rsidRPr="00931C42">
        <w:rPr>
          <w:rFonts w:ascii="Times New Roman" w:hAnsi="Times New Roman" w:cs="Times New Roman"/>
          <w:sz w:val="24"/>
          <w:szCs w:val="24"/>
        </w:rPr>
        <w:t>rýchl</w:t>
      </w:r>
      <w:r w:rsidR="00147EB4">
        <w:rPr>
          <w:rFonts w:ascii="Times New Roman" w:hAnsi="Times New Roman" w:cs="Times New Roman"/>
          <w:sz w:val="24"/>
          <w:szCs w:val="24"/>
        </w:rPr>
        <w:t>i</w:t>
      </w:r>
      <w:r w:rsidR="00147EB4" w:rsidRPr="00931C42">
        <w:rPr>
          <w:rFonts w:ascii="Times New Roman" w:hAnsi="Times New Roman" w:cs="Times New Roman"/>
          <w:sz w:val="24"/>
          <w:szCs w:val="24"/>
        </w:rPr>
        <w:t xml:space="preserve"> konania vo veciach návrhov na vydanie platobných rozkazov zameraných na uspokojovanie peňažných pohľadávok žalobcov. Konanie bude prebiehať elektronicky a bude ho zastrešovať Okresný súd Banská Bystrica. </w:t>
      </w:r>
      <w:r w:rsidR="00C73D24">
        <w:rPr>
          <w:rFonts w:ascii="Times New Roman" w:hAnsi="Times New Roman" w:cs="Times New Roman"/>
          <w:sz w:val="24"/>
          <w:szCs w:val="24"/>
        </w:rPr>
        <w:t>Ú</w:t>
      </w:r>
      <w:r w:rsidR="00147EB4" w:rsidRPr="00931C42">
        <w:rPr>
          <w:rFonts w:ascii="Times New Roman" w:hAnsi="Times New Roman" w:cs="Times New Roman"/>
          <w:sz w:val="24"/>
          <w:szCs w:val="24"/>
        </w:rPr>
        <w:t>činnosť je od 01. 0</w:t>
      </w:r>
      <w:r w:rsidR="00B12492">
        <w:rPr>
          <w:rFonts w:ascii="Times New Roman" w:hAnsi="Times New Roman" w:cs="Times New Roman"/>
          <w:sz w:val="24"/>
          <w:szCs w:val="24"/>
        </w:rPr>
        <w:t>2</w:t>
      </w:r>
      <w:r w:rsidR="00147EB4" w:rsidRPr="00931C42">
        <w:rPr>
          <w:rFonts w:ascii="Times New Roman" w:hAnsi="Times New Roman" w:cs="Times New Roman"/>
          <w:sz w:val="24"/>
          <w:szCs w:val="24"/>
        </w:rPr>
        <w:t xml:space="preserve">. 2017. </w:t>
      </w:r>
    </w:p>
    <w:p w:rsidR="00147EB4" w:rsidRPr="00931C42" w:rsidRDefault="00147EB4" w:rsidP="00147EB4">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lastRenderedPageBreak/>
        <w:tab/>
        <w:t xml:space="preserve">Návrh </w:t>
      </w:r>
      <w:r w:rsidR="00E23690" w:rsidRPr="00E23690">
        <w:rPr>
          <w:rFonts w:ascii="Times New Roman" w:hAnsi="Times New Roman" w:cs="Times New Roman"/>
          <w:sz w:val="24"/>
          <w:szCs w:val="24"/>
        </w:rPr>
        <w:t>na vydanie platobn</w:t>
      </w:r>
      <w:r w:rsidR="00747029">
        <w:rPr>
          <w:rFonts w:ascii="Times New Roman" w:hAnsi="Times New Roman" w:cs="Times New Roman"/>
          <w:sz w:val="24"/>
          <w:szCs w:val="24"/>
        </w:rPr>
        <w:t>ého</w:t>
      </w:r>
      <w:r w:rsidR="00E23690" w:rsidRPr="00E23690">
        <w:rPr>
          <w:rFonts w:ascii="Times New Roman" w:hAnsi="Times New Roman" w:cs="Times New Roman"/>
          <w:sz w:val="24"/>
          <w:szCs w:val="24"/>
        </w:rPr>
        <w:t xml:space="preserve"> rozkaz</w:t>
      </w:r>
      <w:r w:rsidR="00747029">
        <w:rPr>
          <w:rFonts w:ascii="Times New Roman" w:hAnsi="Times New Roman" w:cs="Times New Roman"/>
          <w:sz w:val="24"/>
          <w:szCs w:val="24"/>
        </w:rPr>
        <w:t>u</w:t>
      </w:r>
      <w:r w:rsidR="00E23690" w:rsidRPr="00E23690">
        <w:rPr>
          <w:rFonts w:ascii="Times New Roman" w:hAnsi="Times New Roman" w:cs="Times New Roman"/>
          <w:sz w:val="24"/>
          <w:szCs w:val="24"/>
        </w:rPr>
        <w:t xml:space="preserve"> </w:t>
      </w:r>
      <w:r w:rsidRPr="00931C42">
        <w:rPr>
          <w:rFonts w:ascii="Times New Roman" w:hAnsi="Times New Roman" w:cs="Times New Roman"/>
          <w:sz w:val="24"/>
          <w:szCs w:val="24"/>
        </w:rPr>
        <w:t>sa bude podávať pomocou elektronického formulára, ktorý bude jednoduchší ako žaloba. Za predpokladu, že sú strany konania účtovnými jednotkami bude stačiť pripojiť faktúru alebo podobnú výzvu a vyhlásiť, že uplatňovaný nárok žalobca eviduje vo svojom účtovníctve</w:t>
      </w:r>
      <w:r w:rsidR="00E23690">
        <w:rPr>
          <w:rFonts w:ascii="Times New Roman" w:hAnsi="Times New Roman" w:cs="Times New Roman"/>
          <w:sz w:val="24"/>
          <w:szCs w:val="24"/>
        </w:rPr>
        <w:t>,</w:t>
      </w:r>
      <w:r w:rsidRPr="00931C42">
        <w:rPr>
          <w:rFonts w:ascii="Times New Roman" w:hAnsi="Times New Roman" w:cs="Times New Roman"/>
          <w:sz w:val="24"/>
          <w:szCs w:val="24"/>
        </w:rPr>
        <w:t xml:space="preserve"> resp.</w:t>
      </w:r>
      <w:r w:rsidR="00E23690">
        <w:rPr>
          <w:rFonts w:ascii="Times New Roman" w:hAnsi="Times New Roman" w:cs="Times New Roman"/>
          <w:sz w:val="24"/>
          <w:szCs w:val="24"/>
        </w:rPr>
        <w:t>,</w:t>
      </w:r>
      <w:r w:rsidRPr="00931C42">
        <w:rPr>
          <w:rFonts w:ascii="Times New Roman" w:hAnsi="Times New Roman" w:cs="Times New Roman"/>
          <w:sz w:val="24"/>
          <w:szCs w:val="24"/>
        </w:rPr>
        <w:t xml:space="preserve"> že údaje o nároku uviedol v kontrolnom výkaze. </w:t>
      </w:r>
      <w:r w:rsidR="00E23690">
        <w:rPr>
          <w:rFonts w:ascii="Times New Roman" w:hAnsi="Times New Roman" w:cs="Times New Roman"/>
          <w:sz w:val="24"/>
          <w:szCs w:val="24"/>
        </w:rPr>
        <w:t>Zároveň</w:t>
      </w:r>
      <w:r w:rsidR="00E23690" w:rsidRPr="00931C42">
        <w:rPr>
          <w:rFonts w:ascii="Times New Roman" w:hAnsi="Times New Roman" w:cs="Times New Roman"/>
          <w:sz w:val="24"/>
          <w:szCs w:val="24"/>
        </w:rPr>
        <w:t xml:space="preserve"> </w:t>
      </w:r>
      <w:r w:rsidRPr="00931C42">
        <w:rPr>
          <w:rFonts w:ascii="Times New Roman" w:hAnsi="Times New Roman" w:cs="Times New Roman"/>
          <w:sz w:val="24"/>
          <w:szCs w:val="24"/>
        </w:rPr>
        <w:t>umožňuje žalobcovi vyhlásiť, že úroky z omeškania odpustí, ak žalovaný zaplatí istinu a nahradí trovy konania. Je to druh skráteného súdneho konania</w:t>
      </w:r>
      <w:r w:rsidR="00C73D24">
        <w:rPr>
          <w:rFonts w:ascii="Times New Roman" w:hAnsi="Times New Roman" w:cs="Times New Roman"/>
          <w:sz w:val="24"/>
          <w:szCs w:val="24"/>
        </w:rPr>
        <w:t>.</w:t>
      </w:r>
    </w:p>
    <w:p w:rsidR="00804E7E" w:rsidRDefault="00804E7E" w:rsidP="00147EB4">
      <w:pPr>
        <w:spacing w:after="0" w:line="240" w:lineRule="auto"/>
        <w:jc w:val="both"/>
        <w:rPr>
          <w:rFonts w:ascii="Times New Roman" w:hAnsi="Times New Roman" w:cs="Times New Roman"/>
          <w:b/>
          <w:sz w:val="24"/>
          <w:szCs w:val="24"/>
        </w:rPr>
      </w:pPr>
    </w:p>
    <w:p w:rsidR="00147EB4" w:rsidRPr="00931C42" w:rsidRDefault="00147EB4" w:rsidP="00147EB4">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Novela zákona o dani z príjmov</w:t>
      </w:r>
    </w:p>
    <w:p w:rsidR="00147EB4" w:rsidRPr="00931C42" w:rsidRDefault="00147EB4" w:rsidP="00147EB4">
      <w:pPr>
        <w:spacing w:after="0" w:line="240" w:lineRule="auto"/>
        <w:jc w:val="both"/>
        <w:rPr>
          <w:rFonts w:ascii="Times New Roman" w:hAnsi="Times New Roman" w:cs="Times New Roman"/>
          <w:b/>
          <w:sz w:val="24"/>
          <w:szCs w:val="24"/>
        </w:rPr>
      </w:pPr>
    </w:p>
    <w:p w:rsidR="00147EB4" w:rsidRDefault="00BA29CF" w:rsidP="00147EB4">
      <w:pPr>
        <w:spacing w:after="0" w:line="240" w:lineRule="auto"/>
        <w:ind w:firstLine="708"/>
        <w:jc w:val="both"/>
        <w:rPr>
          <w:rFonts w:ascii="Times New Roman" w:hAnsi="Times New Roman" w:cs="Times New Roman"/>
          <w:bCs/>
          <w:sz w:val="24"/>
          <w:szCs w:val="24"/>
        </w:rPr>
      </w:pPr>
      <w:r>
        <w:rPr>
          <w:rFonts w:ascii="Times New Roman" w:hAnsi="Times New Roman" w:cs="Times New Roman"/>
          <w:sz w:val="24"/>
          <w:szCs w:val="24"/>
        </w:rPr>
        <w:t>NR SR</w:t>
      </w:r>
      <w:r w:rsidR="00535648">
        <w:rPr>
          <w:rFonts w:ascii="Times New Roman" w:hAnsi="Times New Roman" w:cs="Times New Roman"/>
          <w:sz w:val="24"/>
          <w:szCs w:val="24"/>
        </w:rPr>
        <w:t xml:space="preserve"> 23. 11. 2016</w:t>
      </w:r>
      <w:r>
        <w:rPr>
          <w:rFonts w:ascii="Times New Roman" w:hAnsi="Times New Roman" w:cs="Times New Roman"/>
          <w:sz w:val="24"/>
          <w:szCs w:val="24"/>
        </w:rPr>
        <w:t xml:space="preserve"> schválila </w:t>
      </w:r>
      <w:r w:rsidR="006A19D4">
        <w:rPr>
          <w:rFonts w:ascii="Times New Roman" w:hAnsi="Times New Roman" w:cs="Times New Roman"/>
          <w:sz w:val="24"/>
          <w:szCs w:val="24"/>
        </w:rPr>
        <w:t>v</w:t>
      </w:r>
      <w:r w:rsidRPr="00BA29CF">
        <w:rPr>
          <w:rFonts w:ascii="Times New Roman" w:hAnsi="Times New Roman" w:cs="Times New Roman"/>
          <w:sz w:val="24"/>
          <w:szCs w:val="24"/>
        </w:rPr>
        <w:t>ládny návrh zákona, ktorým sa mení a dopĺňa zákon č.</w:t>
      </w:r>
      <w:r w:rsidR="00535648">
        <w:rPr>
          <w:rFonts w:ascii="Times New Roman" w:hAnsi="Times New Roman" w:cs="Times New Roman"/>
          <w:sz w:val="24"/>
          <w:szCs w:val="24"/>
        </w:rPr>
        <w:t> </w:t>
      </w:r>
      <w:r w:rsidRPr="00BA29CF">
        <w:rPr>
          <w:rFonts w:ascii="Times New Roman" w:hAnsi="Times New Roman" w:cs="Times New Roman"/>
          <w:sz w:val="24"/>
          <w:szCs w:val="24"/>
        </w:rPr>
        <w:t>595/2003 Z. z. o dani z príjmov v znení neskorších predpisov a k</w:t>
      </w:r>
      <w:r w:rsidR="00535648">
        <w:rPr>
          <w:rFonts w:ascii="Times New Roman" w:hAnsi="Times New Roman" w:cs="Times New Roman"/>
          <w:sz w:val="24"/>
          <w:szCs w:val="24"/>
        </w:rPr>
        <w:t>torým sa mení a dopĺňa zákon č. </w:t>
      </w:r>
      <w:r w:rsidRPr="00BA29CF">
        <w:rPr>
          <w:rFonts w:ascii="Times New Roman" w:hAnsi="Times New Roman" w:cs="Times New Roman"/>
          <w:sz w:val="24"/>
          <w:szCs w:val="24"/>
        </w:rPr>
        <w:t>580/2004 Z. z. o zdravotnom poistení a o zmene a doplnení zákona č. 95/2002 Z. z. o</w:t>
      </w:r>
      <w:r>
        <w:rPr>
          <w:rFonts w:ascii="Times New Roman" w:hAnsi="Times New Roman" w:cs="Times New Roman"/>
          <w:sz w:val="24"/>
          <w:szCs w:val="24"/>
        </w:rPr>
        <w:t> </w:t>
      </w:r>
      <w:r w:rsidRPr="00BA29CF">
        <w:rPr>
          <w:rFonts w:ascii="Times New Roman" w:hAnsi="Times New Roman" w:cs="Times New Roman"/>
          <w:sz w:val="24"/>
          <w:szCs w:val="24"/>
        </w:rPr>
        <w:t>poisťovníctve a o zmene a doplnení niektorých zákonov v znení neskorších predpisov</w:t>
      </w:r>
      <w:r w:rsidR="00EB0F99">
        <w:rPr>
          <w:rFonts w:ascii="Times New Roman" w:hAnsi="Times New Roman" w:cs="Times New Roman"/>
          <w:sz w:val="24"/>
          <w:szCs w:val="24"/>
        </w:rPr>
        <w:t xml:space="preserve"> (parlamentná tlač 258)</w:t>
      </w:r>
      <w:r>
        <w:rPr>
          <w:rFonts w:ascii="Times New Roman" w:hAnsi="Times New Roman" w:cs="Times New Roman"/>
          <w:sz w:val="24"/>
          <w:szCs w:val="24"/>
        </w:rPr>
        <w:t xml:space="preserve">, </w:t>
      </w:r>
      <w:r w:rsidR="00147EB4" w:rsidRPr="00931C42">
        <w:rPr>
          <w:rFonts w:ascii="Times New Roman" w:hAnsi="Times New Roman" w:cs="Times New Roman"/>
          <w:sz w:val="24"/>
          <w:szCs w:val="24"/>
        </w:rPr>
        <w:t>ktor</w:t>
      </w:r>
      <w:r>
        <w:rPr>
          <w:rFonts w:ascii="Times New Roman" w:hAnsi="Times New Roman" w:cs="Times New Roman"/>
          <w:sz w:val="24"/>
          <w:szCs w:val="24"/>
        </w:rPr>
        <w:t>ým</w:t>
      </w:r>
      <w:r w:rsidR="00147EB4" w:rsidRPr="00931C42">
        <w:rPr>
          <w:rFonts w:ascii="Times New Roman" w:hAnsi="Times New Roman" w:cs="Times New Roman"/>
          <w:sz w:val="24"/>
          <w:szCs w:val="24"/>
        </w:rPr>
        <w:t xml:space="preserve"> d</w:t>
      </w:r>
      <w:r w:rsidR="00147EB4">
        <w:rPr>
          <w:rFonts w:ascii="Times New Roman" w:hAnsi="Times New Roman" w:cs="Times New Roman"/>
          <w:sz w:val="24"/>
          <w:szCs w:val="24"/>
        </w:rPr>
        <w:t>ôjde</w:t>
      </w:r>
      <w:r w:rsidR="00147EB4" w:rsidRPr="00931C42">
        <w:rPr>
          <w:rFonts w:ascii="Times New Roman" w:hAnsi="Times New Roman" w:cs="Times New Roman"/>
          <w:bCs/>
          <w:sz w:val="24"/>
          <w:szCs w:val="24"/>
        </w:rPr>
        <w:t xml:space="preserve"> k výraznému zníženiu daní pre živnostníkov cestou zvýšenia paušálnych výdavkov, čím si tieto </w:t>
      </w:r>
      <w:r w:rsidR="00147EB4">
        <w:rPr>
          <w:rFonts w:ascii="Times New Roman" w:hAnsi="Times New Roman" w:cs="Times New Roman"/>
          <w:bCs/>
          <w:sz w:val="24"/>
          <w:szCs w:val="24"/>
        </w:rPr>
        <w:t>SZČO</w:t>
      </w:r>
      <w:r w:rsidR="00147EB4" w:rsidRPr="00931C42">
        <w:rPr>
          <w:rFonts w:ascii="Times New Roman" w:hAnsi="Times New Roman" w:cs="Times New Roman"/>
          <w:bCs/>
          <w:sz w:val="24"/>
          <w:szCs w:val="24"/>
        </w:rPr>
        <w:t xml:space="preserve"> polepšia v príjmoch. Bez preukazovania reálnych nákladov si budú môcť z toho, čo zarobia, odrátať paušálne výdavky až do výšky 60 %, a to maximálne do sumy 20 000 € ročne. V súčasnosti je maximálna výška paušálnych výdavkov 40</w:t>
      </w:r>
      <w:r w:rsidR="00147EB4">
        <w:rPr>
          <w:rFonts w:ascii="Times New Roman" w:hAnsi="Times New Roman" w:cs="Times New Roman"/>
          <w:bCs/>
          <w:sz w:val="24"/>
          <w:szCs w:val="24"/>
        </w:rPr>
        <w:t> </w:t>
      </w:r>
      <w:r w:rsidR="00147EB4" w:rsidRPr="00931C42">
        <w:rPr>
          <w:rFonts w:ascii="Times New Roman" w:hAnsi="Times New Roman" w:cs="Times New Roman"/>
          <w:bCs/>
          <w:sz w:val="24"/>
          <w:szCs w:val="24"/>
        </w:rPr>
        <w:t xml:space="preserve">%, s ročným stropom 5 040 €. </w:t>
      </w:r>
      <w:r>
        <w:rPr>
          <w:rFonts w:ascii="Times New Roman" w:hAnsi="Times New Roman" w:cs="Times New Roman"/>
          <w:bCs/>
          <w:sz w:val="24"/>
          <w:szCs w:val="24"/>
        </w:rPr>
        <w:t>Ú</w:t>
      </w:r>
      <w:r w:rsidRPr="00931C42">
        <w:rPr>
          <w:rFonts w:ascii="Times New Roman" w:hAnsi="Times New Roman" w:cs="Times New Roman"/>
          <w:bCs/>
          <w:sz w:val="24"/>
          <w:szCs w:val="24"/>
        </w:rPr>
        <w:t xml:space="preserve">činnosť </w:t>
      </w:r>
      <w:r>
        <w:rPr>
          <w:rFonts w:ascii="Times New Roman" w:hAnsi="Times New Roman" w:cs="Times New Roman"/>
          <w:bCs/>
          <w:sz w:val="24"/>
          <w:szCs w:val="24"/>
        </w:rPr>
        <w:t>je</w:t>
      </w:r>
      <w:r w:rsidRPr="00931C42">
        <w:rPr>
          <w:rFonts w:ascii="Times New Roman" w:hAnsi="Times New Roman" w:cs="Times New Roman"/>
          <w:bCs/>
          <w:sz w:val="24"/>
          <w:szCs w:val="24"/>
        </w:rPr>
        <w:t xml:space="preserve"> od 01. 01. 2017</w:t>
      </w:r>
      <w:r>
        <w:rPr>
          <w:rFonts w:ascii="Times New Roman" w:hAnsi="Times New Roman" w:cs="Times New Roman"/>
          <w:bCs/>
          <w:sz w:val="24"/>
          <w:szCs w:val="24"/>
        </w:rPr>
        <w:t>.</w:t>
      </w:r>
    </w:p>
    <w:p w:rsidR="00147EB4" w:rsidRPr="00931C42" w:rsidRDefault="00147EB4" w:rsidP="00147EB4">
      <w:pPr>
        <w:spacing w:after="0" w:line="240" w:lineRule="auto"/>
        <w:ind w:firstLine="708"/>
        <w:jc w:val="both"/>
        <w:rPr>
          <w:rFonts w:ascii="Times New Roman" w:hAnsi="Times New Roman" w:cs="Times New Roman"/>
          <w:bCs/>
          <w:sz w:val="24"/>
          <w:szCs w:val="24"/>
        </w:rPr>
      </w:pPr>
    </w:p>
    <w:p w:rsidR="00147EB4" w:rsidRDefault="00147EB4" w:rsidP="00147EB4">
      <w:pPr>
        <w:shd w:val="clear" w:color="auto" w:fill="FFFFFF"/>
        <w:spacing w:after="0" w:line="240" w:lineRule="auto"/>
        <w:jc w:val="both"/>
        <w:rPr>
          <w:rFonts w:ascii="Times New Roman" w:hAnsi="Times New Roman" w:cs="Times New Roman"/>
          <w:b/>
          <w:bCs/>
          <w:sz w:val="24"/>
          <w:szCs w:val="24"/>
        </w:rPr>
      </w:pPr>
      <w:r w:rsidRPr="00931C42">
        <w:rPr>
          <w:rFonts w:ascii="Times New Roman" w:hAnsi="Times New Roman" w:cs="Times New Roman"/>
          <w:b/>
          <w:bCs/>
          <w:sz w:val="24"/>
          <w:szCs w:val="24"/>
        </w:rPr>
        <w:t>Daň z pridanej hodnoty v roku 2016</w:t>
      </w:r>
    </w:p>
    <w:p w:rsidR="00147EB4" w:rsidRPr="00931C42" w:rsidRDefault="00147EB4" w:rsidP="00147EB4">
      <w:pPr>
        <w:shd w:val="clear" w:color="auto" w:fill="FFFFFF"/>
        <w:spacing w:after="0" w:line="240" w:lineRule="auto"/>
        <w:jc w:val="both"/>
        <w:rPr>
          <w:rFonts w:ascii="Times New Roman" w:hAnsi="Times New Roman" w:cs="Times New Roman"/>
          <w:b/>
          <w:bCs/>
          <w:sz w:val="24"/>
          <w:szCs w:val="24"/>
        </w:rPr>
      </w:pPr>
    </w:p>
    <w:p w:rsidR="00332F9E" w:rsidRDefault="00465B54" w:rsidP="00332F9E">
      <w:pPr>
        <w:shd w:val="clear" w:color="auto" w:fill="FFFFFF"/>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 účinnosťou zákona </w:t>
      </w:r>
      <w:r w:rsidR="00332F9E" w:rsidRPr="00617043">
        <w:rPr>
          <w:rFonts w:ascii="Times New Roman" w:hAnsi="Times New Roman" w:cs="Times New Roman"/>
          <w:sz w:val="24"/>
          <w:szCs w:val="24"/>
        </w:rPr>
        <w:t>č. 268/2015 Z. z., ktorým sa mení a</w:t>
      </w:r>
      <w:r w:rsidR="00332F9E">
        <w:rPr>
          <w:rFonts w:ascii="Times New Roman" w:hAnsi="Times New Roman" w:cs="Times New Roman"/>
          <w:sz w:val="24"/>
          <w:szCs w:val="24"/>
        </w:rPr>
        <w:t> </w:t>
      </w:r>
      <w:r w:rsidR="00332F9E" w:rsidRPr="00617043">
        <w:rPr>
          <w:rFonts w:ascii="Times New Roman" w:hAnsi="Times New Roman" w:cs="Times New Roman"/>
          <w:sz w:val="24"/>
          <w:szCs w:val="24"/>
        </w:rPr>
        <w:t>dopĺňa</w:t>
      </w:r>
      <w:r w:rsidR="00332F9E">
        <w:rPr>
          <w:rFonts w:ascii="Times New Roman" w:hAnsi="Times New Roman" w:cs="Times New Roman"/>
          <w:sz w:val="24"/>
          <w:szCs w:val="24"/>
        </w:rPr>
        <w:t xml:space="preserve"> </w:t>
      </w:r>
      <w:r w:rsidR="00332F9E" w:rsidRPr="00617043">
        <w:rPr>
          <w:rFonts w:ascii="Times New Roman" w:hAnsi="Times New Roman" w:cs="Times New Roman"/>
          <w:sz w:val="24"/>
          <w:szCs w:val="24"/>
        </w:rPr>
        <w:t>zákon č.</w:t>
      </w:r>
      <w:r>
        <w:rPr>
          <w:rFonts w:ascii="Times New Roman" w:hAnsi="Times New Roman" w:cs="Times New Roman"/>
          <w:sz w:val="24"/>
          <w:szCs w:val="24"/>
        </w:rPr>
        <w:t> </w:t>
      </w:r>
      <w:r w:rsidR="00332F9E" w:rsidRPr="00617043">
        <w:rPr>
          <w:rFonts w:ascii="Times New Roman" w:hAnsi="Times New Roman" w:cs="Times New Roman"/>
          <w:sz w:val="24"/>
          <w:szCs w:val="24"/>
        </w:rPr>
        <w:t>222/2004 Z. z. o dani z</w:t>
      </w:r>
      <w:r>
        <w:rPr>
          <w:rFonts w:ascii="Times New Roman" w:hAnsi="Times New Roman" w:cs="Times New Roman"/>
          <w:sz w:val="24"/>
          <w:szCs w:val="24"/>
        </w:rPr>
        <w:t> </w:t>
      </w:r>
      <w:r w:rsidR="00332F9E" w:rsidRPr="00617043">
        <w:rPr>
          <w:rFonts w:ascii="Times New Roman" w:hAnsi="Times New Roman" w:cs="Times New Roman"/>
          <w:sz w:val="24"/>
          <w:szCs w:val="24"/>
        </w:rPr>
        <w:t xml:space="preserve">pridanej hodnoty v znení neskorších predpisov </w:t>
      </w:r>
      <w:r w:rsidR="00332F9E">
        <w:rPr>
          <w:rFonts w:ascii="Times New Roman" w:hAnsi="Times New Roman" w:cs="Times New Roman"/>
          <w:sz w:val="24"/>
          <w:szCs w:val="24"/>
        </w:rPr>
        <w:t xml:space="preserve">(ďalej len „zákon o DPH“) </w:t>
      </w:r>
      <w:r w:rsidR="00332F9E" w:rsidRPr="00617043">
        <w:rPr>
          <w:rFonts w:ascii="Times New Roman" w:hAnsi="Times New Roman" w:cs="Times New Roman"/>
          <w:sz w:val="24"/>
          <w:szCs w:val="24"/>
        </w:rPr>
        <w:t>a ktorým sa</w:t>
      </w:r>
      <w:r w:rsidR="00332F9E">
        <w:rPr>
          <w:rFonts w:ascii="Times New Roman" w:hAnsi="Times New Roman" w:cs="Times New Roman"/>
          <w:bCs/>
          <w:sz w:val="24"/>
          <w:szCs w:val="24"/>
        </w:rPr>
        <w:t xml:space="preserve"> </w:t>
      </w:r>
      <w:r w:rsidR="00332F9E" w:rsidRPr="00617043">
        <w:rPr>
          <w:rFonts w:ascii="Times New Roman" w:hAnsi="Times New Roman" w:cs="Times New Roman"/>
          <w:sz w:val="24"/>
          <w:szCs w:val="24"/>
        </w:rPr>
        <w:t>menia a</w:t>
      </w:r>
      <w:r>
        <w:rPr>
          <w:rFonts w:ascii="Times New Roman" w:hAnsi="Times New Roman" w:cs="Times New Roman"/>
          <w:sz w:val="24"/>
          <w:szCs w:val="24"/>
        </w:rPr>
        <w:t> </w:t>
      </w:r>
      <w:r w:rsidR="00332F9E" w:rsidRPr="00617043">
        <w:rPr>
          <w:rFonts w:ascii="Times New Roman" w:hAnsi="Times New Roman" w:cs="Times New Roman"/>
          <w:sz w:val="24"/>
          <w:szCs w:val="24"/>
        </w:rPr>
        <w:t xml:space="preserve">dopĺňajú niektoré ďalšie zákony (ďalej len </w:t>
      </w:r>
      <w:r w:rsidR="00332F9E">
        <w:rPr>
          <w:rFonts w:ascii="Times New Roman" w:hAnsi="Times New Roman" w:cs="Times New Roman"/>
          <w:sz w:val="24"/>
          <w:szCs w:val="24"/>
        </w:rPr>
        <w:t>„</w:t>
      </w:r>
      <w:r w:rsidR="00332F9E" w:rsidRPr="00617043">
        <w:rPr>
          <w:rFonts w:ascii="Times New Roman" w:hAnsi="Times New Roman" w:cs="Times New Roman"/>
          <w:sz w:val="24"/>
          <w:szCs w:val="24"/>
        </w:rPr>
        <w:t>novela zákona o</w:t>
      </w:r>
      <w:r w:rsidR="00332F9E">
        <w:rPr>
          <w:rFonts w:ascii="Times New Roman" w:hAnsi="Times New Roman" w:cs="Times New Roman"/>
          <w:sz w:val="24"/>
          <w:szCs w:val="24"/>
        </w:rPr>
        <w:t> </w:t>
      </w:r>
      <w:r w:rsidR="00332F9E" w:rsidRPr="00617043">
        <w:rPr>
          <w:rFonts w:ascii="Times New Roman" w:hAnsi="Times New Roman" w:cs="Times New Roman"/>
          <w:sz w:val="24"/>
          <w:szCs w:val="24"/>
        </w:rPr>
        <w:t>DPH</w:t>
      </w:r>
      <w:r w:rsidR="00332F9E">
        <w:rPr>
          <w:rFonts w:ascii="Times New Roman" w:hAnsi="Times New Roman" w:cs="Times New Roman"/>
          <w:sz w:val="24"/>
          <w:szCs w:val="24"/>
        </w:rPr>
        <w:t>“</w:t>
      </w:r>
      <w:r w:rsidR="00332F9E" w:rsidRPr="00617043">
        <w:rPr>
          <w:rFonts w:ascii="Times New Roman" w:hAnsi="Times New Roman" w:cs="Times New Roman"/>
          <w:sz w:val="24"/>
          <w:szCs w:val="24"/>
        </w:rPr>
        <w:t>)</w:t>
      </w:r>
      <w:r w:rsidR="008109F5">
        <w:rPr>
          <w:rFonts w:ascii="Times New Roman" w:hAnsi="Times New Roman" w:cs="Times New Roman"/>
          <w:sz w:val="24"/>
          <w:szCs w:val="24"/>
        </w:rPr>
        <w:t xml:space="preserve"> </w:t>
      </w:r>
      <w:r w:rsidR="008109F5" w:rsidRPr="00465B54">
        <w:rPr>
          <w:rFonts w:ascii="Times New Roman" w:hAnsi="Times New Roman" w:cs="Times New Roman"/>
          <w:sz w:val="24"/>
          <w:szCs w:val="24"/>
        </w:rPr>
        <w:t xml:space="preserve">od 01. 01. 2016 </w:t>
      </w:r>
      <w:r w:rsidR="00332F9E">
        <w:rPr>
          <w:rFonts w:ascii="Times New Roman" w:hAnsi="Times New Roman" w:cs="Times New Roman"/>
          <w:sz w:val="24"/>
          <w:szCs w:val="24"/>
        </w:rPr>
        <w:t>platia dve lehoty na vyhotovenie faktúry k platbe prijatej pred dodaním tovaru alebo služby, pri ktorej vzniká daňová povinnosť</w:t>
      </w:r>
      <w:r w:rsidR="00332F9E">
        <w:rPr>
          <w:rFonts w:ascii="TimesNewRoman" w:hAnsi="TimesNewRoman" w:cs="TimesNewRoman"/>
          <w:sz w:val="24"/>
          <w:szCs w:val="24"/>
        </w:rPr>
        <w:t xml:space="preserve"> </w:t>
      </w:r>
      <w:r w:rsidR="00332F9E">
        <w:rPr>
          <w:rFonts w:ascii="Times New Roman" w:hAnsi="Times New Roman" w:cs="Times New Roman"/>
          <w:sz w:val="24"/>
          <w:szCs w:val="24"/>
        </w:rPr>
        <w:t>pod</w:t>
      </w:r>
      <w:r w:rsidR="00332F9E">
        <w:rPr>
          <w:rFonts w:ascii="TimesNewRoman" w:hAnsi="TimesNewRoman" w:cs="TimesNewRoman"/>
          <w:sz w:val="24"/>
          <w:szCs w:val="24"/>
        </w:rPr>
        <w:t>ľ</w:t>
      </w:r>
      <w:r w:rsidR="00332F9E">
        <w:rPr>
          <w:rFonts w:ascii="Times New Roman" w:hAnsi="Times New Roman" w:cs="Times New Roman"/>
          <w:sz w:val="24"/>
          <w:szCs w:val="24"/>
        </w:rPr>
        <w:t>a § 19 ods. 4 zákona o DPH a § 68d ods. 4 zákona o DPH dňom prijatia platby. Ak bude platba prijatá v prvej polovici kalendárneho mesiaca, platite</w:t>
      </w:r>
      <w:r w:rsidR="00332F9E">
        <w:rPr>
          <w:rFonts w:ascii="TimesNewRoman" w:hAnsi="TimesNewRoman" w:cs="TimesNewRoman"/>
          <w:sz w:val="24"/>
          <w:szCs w:val="24"/>
        </w:rPr>
        <w:t xml:space="preserve">ľ </w:t>
      </w:r>
      <w:r w:rsidR="00332F9E">
        <w:rPr>
          <w:rFonts w:ascii="Times New Roman" w:hAnsi="Times New Roman" w:cs="Times New Roman"/>
          <w:sz w:val="24"/>
          <w:szCs w:val="24"/>
        </w:rPr>
        <w:t>dane môže vyhotov</w:t>
      </w:r>
      <w:r w:rsidR="00332F9E" w:rsidRPr="00465B54">
        <w:rPr>
          <w:rFonts w:ascii="Times New Roman" w:hAnsi="Times New Roman" w:cs="Times New Roman"/>
          <w:sz w:val="24"/>
          <w:szCs w:val="24"/>
        </w:rPr>
        <w:t>i</w:t>
      </w:r>
      <w:r w:rsidRPr="00465B54">
        <w:rPr>
          <w:rFonts w:ascii="Times New Roman" w:hAnsi="Times New Roman" w:cs="Times New Roman"/>
          <w:sz w:val="24"/>
          <w:szCs w:val="24"/>
        </w:rPr>
        <w:t>ť</w:t>
      </w:r>
      <w:r w:rsidR="00332F9E" w:rsidRPr="00465B54">
        <w:rPr>
          <w:rFonts w:ascii="Times New Roman" w:hAnsi="Times New Roman" w:cs="Times New Roman"/>
          <w:sz w:val="24"/>
          <w:szCs w:val="24"/>
        </w:rPr>
        <w:t xml:space="preserve"> </w:t>
      </w:r>
      <w:r w:rsidR="00332F9E">
        <w:rPr>
          <w:rFonts w:ascii="Times New Roman" w:hAnsi="Times New Roman" w:cs="Times New Roman"/>
          <w:sz w:val="24"/>
          <w:szCs w:val="24"/>
        </w:rPr>
        <w:t>faktúru neskôr ako do 15 dní od prijatia platby, najneskôr však do konca kalendárneho mesiaca.</w:t>
      </w:r>
      <w:r>
        <w:rPr>
          <w:rFonts w:ascii="Times New Roman" w:hAnsi="Times New Roman" w:cs="Times New Roman"/>
          <w:sz w:val="24"/>
          <w:szCs w:val="24"/>
        </w:rPr>
        <w:t xml:space="preserve"> </w:t>
      </w:r>
      <w:r w:rsidR="00000025">
        <w:rPr>
          <w:rFonts w:ascii="Times New Roman" w:hAnsi="Times New Roman" w:cs="Times New Roman"/>
          <w:sz w:val="24"/>
          <w:szCs w:val="24"/>
        </w:rPr>
        <w:t>Z</w:t>
      </w:r>
      <w:r w:rsidR="00000025" w:rsidRPr="00931C42">
        <w:rPr>
          <w:rFonts w:ascii="Times New Roman" w:hAnsi="Times New Roman" w:cs="Times New Roman"/>
          <w:bCs/>
          <w:sz w:val="24"/>
          <w:szCs w:val="24"/>
        </w:rPr>
        <w:t xml:space="preserve">aviedla </w:t>
      </w:r>
      <w:r w:rsidR="00000025">
        <w:rPr>
          <w:rFonts w:ascii="Times New Roman" w:hAnsi="Times New Roman" w:cs="Times New Roman"/>
          <w:bCs/>
          <w:sz w:val="24"/>
          <w:szCs w:val="24"/>
        </w:rPr>
        <w:t xml:space="preserve">sa tiež </w:t>
      </w:r>
      <w:r w:rsidR="00000025" w:rsidRPr="00931C42">
        <w:rPr>
          <w:rFonts w:ascii="Times New Roman" w:hAnsi="Times New Roman" w:cs="Times New Roman"/>
          <w:bCs/>
          <w:sz w:val="24"/>
          <w:szCs w:val="24"/>
        </w:rPr>
        <w:t xml:space="preserve">osobitná úprava dane na základe prijatia platby za dodanie tovaru alebo služby – podmienka zaplatenia dane na výstupe aj na vstupe. Môže </w:t>
      </w:r>
      <w:r w:rsidR="00000025">
        <w:rPr>
          <w:rFonts w:ascii="Times New Roman" w:hAnsi="Times New Roman" w:cs="Times New Roman"/>
          <w:bCs/>
          <w:sz w:val="24"/>
          <w:szCs w:val="24"/>
        </w:rPr>
        <w:t xml:space="preserve">si </w:t>
      </w:r>
      <w:r w:rsidR="00000025" w:rsidRPr="00931C42">
        <w:rPr>
          <w:rFonts w:ascii="Times New Roman" w:hAnsi="Times New Roman" w:cs="Times New Roman"/>
          <w:bCs/>
          <w:sz w:val="24"/>
          <w:szCs w:val="24"/>
        </w:rPr>
        <w:t>ju dobrovoľne uplatniť platiteľ, ak za predchádzajúci rok nedosiahol obrat 100 000 €, nebol naňho vyhlásený konkurz alebo nevstúpil do likvidácie</w:t>
      </w:r>
      <w:r w:rsidR="00000025">
        <w:rPr>
          <w:rFonts w:ascii="Times New Roman" w:hAnsi="Times New Roman" w:cs="Times New Roman"/>
          <w:bCs/>
          <w:sz w:val="24"/>
          <w:szCs w:val="24"/>
        </w:rPr>
        <w:t xml:space="preserve">. </w:t>
      </w:r>
      <w:r>
        <w:rPr>
          <w:rFonts w:ascii="Times New Roman" w:hAnsi="Times New Roman" w:cs="Times New Roman"/>
          <w:sz w:val="24"/>
          <w:szCs w:val="24"/>
        </w:rPr>
        <w:t xml:space="preserve">Zároveň </w:t>
      </w:r>
      <w:r w:rsidR="009E101F">
        <w:rPr>
          <w:rFonts w:ascii="Times New Roman" w:hAnsi="Times New Roman" w:cs="Times New Roman"/>
          <w:sz w:val="24"/>
          <w:szCs w:val="24"/>
        </w:rPr>
        <w:t xml:space="preserve">sa </w:t>
      </w:r>
      <w:r w:rsidR="00332F9E">
        <w:rPr>
          <w:rFonts w:ascii="Times New Roman" w:hAnsi="Times New Roman" w:cs="Times New Roman"/>
          <w:sz w:val="24"/>
          <w:szCs w:val="24"/>
        </w:rPr>
        <w:t>do prílohy č. 7 doplnili vybrané druhy potravín, pri dodaní ktorých platite</w:t>
      </w:r>
      <w:r w:rsidR="00332F9E">
        <w:rPr>
          <w:rFonts w:ascii="TimesNewRoman" w:hAnsi="TimesNewRoman" w:cs="TimesNewRoman"/>
          <w:sz w:val="24"/>
          <w:szCs w:val="24"/>
        </w:rPr>
        <w:t xml:space="preserve">ľ </w:t>
      </w:r>
      <w:r w:rsidR="00332F9E">
        <w:rPr>
          <w:rFonts w:ascii="Times New Roman" w:hAnsi="Times New Roman" w:cs="Times New Roman"/>
          <w:sz w:val="24"/>
          <w:szCs w:val="24"/>
        </w:rPr>
        <w:t>dane uplatní zníženú sadzbu dane zo základu dane 10</w:t>
      </w:r>
      <w:r w:rsidR="00CF3C2A">
        <w:rPr>
          <w:rFonts w:ascii="Times New Roman" w:hAnsi="Times New Roman" w:cs="Times New Roman"/>
          <w:sz w:val="24"/>
          <w:szCs w:val="24"/>
        </w:rPr>
        <w:t> </w:t>
      </w:r>
      <w:r w:rsidR="00332F9E">
        <w:rPr>
          <w:rFonts w:ascii="Times New Roman" w:hAnsi="Times New Roman" w:cs="Times New Roman"/>
          <w:sz w:val="24"/>
          <w:szCs w:val="24"/>
        </w:rPr>
        <w:t>% - mäso, mlieko, maslo a čerstvý chlieb.</w:t>
      </w:r>
    </w:p>
    <w:p w:rsidR="00000025" w:rsidRDefault="00000025" w:rsidP="00147EB4">
      <w:pPr>
        <w:shd w:val="clear" w:color="auto" w:fill="FFFFFF"/>
        <w:spacing w:after="0" w:line="240" w:lineRule="auto"/>
        <w:jc w:val="both"/>
        <w:rPr>
          <w:rFonts w:ascii="Times New Roman" w:hAnsi="Times New Roman" w:cs="Times New Roman"/>
          <w:b/>
          <w:bCs/>
          <w:sz w:val="24"/>
          <w:szCs w:val="24"/>
        </w:rPr>
      </w:pPr>
    </w:p>
    <w:p w:rsidR="00147EB4" w:rsidRDefault="00147EB4" w:rsidP="00147EB4">
      <w:pPr>
        <w:shd w:val="clear" w:color="auto" w:fill="FFFFFF"/>
        <w:spacing w:after="0" w:line="240" w:lineRule="auto"/>
        <w:jc w:val="both"/>
        <w:rPr>
          <w:rFonts w:ascii="Times New Roman" w:hAnsi="Times New Roman" w:cs="Times New Roman"/>
          <w:b/>
          <w:bCs/>
          <w:sz w:val="24"/>
          <w:szCs w:val="24"/>
        </w:rPr>
      </w:pPr>
      <w:r w:rsidRPr="00931C42">
        <w:rPr>
          <w:rFonts w:ascii="Times New Roman" w:hAnsi="Times New Roman" w:cs="Times New Roman"/>
          <w:b/>
          <w:bCs/>
          <w:sz w:val="24"/>
          <w:szCs w:val="24"/>
        </w:rPr>
        <w:t>Koncepcia inteligentného priemyslu pre Slovensko</w:t>
      </w:r>
    </w:p>
    <w:p w:rsidR="00147EB4" w:rsidRPr="00931C42" w:rsidRDefault="00147EB4" w:rsidP="00147EB4">
      <w:pPr>
        <w:shd w:val="clear" w:color="auto" w:fill="FFFFFF"/>
        <w:spacing w:after="0" w:line="240" w:lineRule="auto"/>
        <w:jc w:val="both"/>
        <w:rPr>
          <w:rFonts w:ascii="Times New Roman" w:hAnsi="Times New Roman" w:cs="Times New Roman"/>
          <w:b/>
          <w:bCs/>
          <w:sz w:val="24"/>
          <w:szCs w:val="24"/>
        </w:rPr>
      </w:pPr>
    </w:p>
    <w:p w:rsidR="00147EB4" w:rsidRPr="00931C42" w:rsidRDefault="00147EB4" w:rsidP="00147EB4">
      <w:pPr>
        <w:shd w:val="clear" w:color="auto" w:fill="FFFFFF"/>
        <w:spacing w:after="0" w:line="240" w:lineRule="auto"/>
        <w:jc w:val="both"/>
        <w:rPr>
          <w:rFonts w:ascii="Times New Roman" w:eastAsia="Times New Roman" w:hAnsi="Times New Roman" w:cs="Times New Roman"/>
          <w:sz w:val="24"/>
          <w:szCs w:val="24"/>
        </w:rPr>
      </w:pPr>
      <w:r w:rsidRPr="00931C42">
        <w:rPr>
          <w:rFonts w:ascii="Times New Roman" w:eastAsia="Times New Roman" w:hAnsi="Times New Roman" w:cs="Times New Roman"/>
          <w:sz w:val="24"/>
          <w:szCs w:val="24"/>
        </w:rPr>
        <w:tab/>
        <w:t>Vláda SR uznesením č. 490/2016 schválila Koncepciu inteligentného priemyslu pre Slovensko a</w:t>
      </w:r>
      <w:r w:rsidR="000143E4">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uložila povinnosť </w:t>
      </w:r>
      <w:r w:rsidR="000143E4">
        <w:rPr>
          <w:rFonts w:ascii="Times New Roman" w:eastAsia="Times New Roman" w:hAnsi="Times New Roman" w:cs="Times New Roman"/>
          <w:sz w:val="24"/>
          <w:szCs w:val="24"/>
        </w:rPr>
        <w:t xml:space="preserve">ministrovi hospodárstva </w:t>
      </w:r>
      <w:r w:rsidRPr="00931C42">
        <w:rPr>
          <w:rFonts w:ascii="Times New Roman" w:eastAsia="Times New Roman" w:hAnsi="Times New Roman" w:cs="Times New Roman"/>
          <w:sz w:val="24"/>
          <w:szCs w:val="24"/>
        </w:rPr>
        <w:t>zriadiť Platformu inteligentného priemyslu do konca roka 2016 so zastúpením podnikateľského a akademického sektora a</w:t>
      </w:r>
      <w:r w:rsidR="000143E4">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vypracovať akčný plán inteligentného priemyslu SR do konca roka 2017. EÚ očakáva, že do roku 2020 sa vlastníctvo </w:t>
      </w:r>
      <w:proofErr w:type="spellStart"/>
      <w:r w:rsidRPr="00931C42">
        <w:rPr>
          <w:rFonts w:ascii="Times New Roman" w:eastAsia="Times New Roman" w:hAnsi="Times New Roman" w:cs="Times New Roman"/>
          <w:sz w:val="24"/>
          <w:szCs w:val="24"/>
        </w:rPr>
        <w:t>smartfónu</w:t>
      </w:r>
      <w:proofErr w:type="spellEnd"/>
      <w:r w:rsidRPr="00931C42">
        <w:rPr>
          <w:rFonts w:ascii="Times New Roman" w:eastAsia="Times New Roman" w:hAnsi="Times New Roman" w:cs="Times New Roman"/>
          <w:sz w:val="24"/>
          <w:szCs w:val="24"/>
        </w:rPr>
        <w:t xml:space="preserve"> s</w:t>
      </w:r>
      <w:r>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internetovým pripojením stane bežnou záležitosťou aj v</w:t>
      </w:r>
      <w:r w:rsidR="000143E4">
        <w:rPr>
          <w:rFonts w:ascii="Times New Roman" w:eastAsia="Times New Roman" w:hAnsi="Times New Roman" w:cs="Times New Roman"/>
          <w:sz w:val="24"/>
          <w:szCs w:val="24"/>
        </w:rPr>
        <w:t> </w:t>
      </w:r>
      <w:r w:rsidRPr="00931C42">
        <w:rPr>
          <w:rFonts w:ascii="Times New Roman" w:eastAsia="Times New Roman" w:hAnsi="Times New Roman" w:cs="Times New Roman"/>
          <w:sz w:val="24"/>
          <w:szCs w:val="24"/>
        </w:rPr>
        <w:t xml:space="preserve">menej rozvinutých krajinách. K sieťam novej generácie sa budú pripájať autá aj inteligentné domy a celkový počet zariadení narastie na 26 miliárd. Prvé skúšobne prevádzky majú za sebou aj rozvíjajúce sa siete internetu vecí. Európa otvára nové horizonty technického vývoja a s nimi prichádzajú nové výzvy, ktoré sú otvorené aj pre podnikateľské subjekty v SR, najmä tie novovznikajúce. </w:t>
      </w:r>
    </w:p>
    <w:p w:rsidR="00147EB4" w:rsidRDefault="00147EB4" w:rsidP="00931C42">
      <w:pPr>
        <w:spacing w:after="0" w:line="240" w:lineRule="auto"/>
        <w:jc w:val="both"/>
        <w:rPr>
          <w:rFonts w:ascii="Times New Roman" w:hAnsi="Times New Roman" w:cs="Times New Roman"/>
          <w:b/>
          <w:sz w:val="28"/>
          <w:szCs w:val="24"/>
        </w:rPr>
      </w:pPr>
    </w:p>
    <w:p w:rsidR="00403A05" w:rsidRDefault="00403A05" w:rsidP="00931C42">
      <w:pPr>
        <w:spacing w:after="0" w:line="240" w:lineRule="auto"/>
        <w:jc w:val="both"/>
        <w:rPr>
          <w:rFonts w:ascii="Times New Roman" w:hAnsi="Times New Roman" w:cs="Times New Roman"/>
          <w:b/>
          <w:sz w:val="28"/>
          <w:szCs w:val="24"/>
        </w:rPr>
      </w:pPr>
    </w:p>
    <w:p w:rsidR="00403A05" w:rsidRDefault="00403A05" w:rsidP="00931C42">
      <w:pPr>
        <w:spacing w:after="0" w:line="240" w:lineRule="auto"/>
        <w:jc w:val="both"/>
        <w:rPr>
          <w:rFonts w:ascii="Times New Roman" w:hAnsi="Times New Roman" w:cs="Times New Roman"/>
          <w:b/>
          <w:sz w:val="28"/>
          <w:szCs w:val="24"/>
        </w:rPr>
      </w:pPr>
    </w:p>
    <w:p w:rsidR="00403A05" w:rsidRDefault="00403A05" w:rsidP="00931C42">
      <w:pPr>
        <w:spacing w:after="0" w:line="240" w:lineRule="auto"/>
        <w:jc w:val="both"/>
        <w:rPr>
          <w:rFonts w:ascii="Times New Roman" w:hAnsi="Times New Roman" w:cs="Times New Roman"/>
          <w:b/>
          <w:sz w:val="28"/>
          <w:szCs w:val="24"/>
        </w:rPr>
      </w:pPr>
    </w:p>
    <w:p w:rsidR="008F6FBD" w:rsidRDefault="008F6FBD" w:rsidP="00931C42">
      <w:pPr>
        <w:spacing w:after="0" w:line="240" w:lineRule="auto"/>
        <w:jc w:val="both"/>
        <w:rPr>
          <w:rFonts w:ascii="Times New Roman" w:hAnsi="Times New Roman" w:cs="Times New Roman"/>
          <w:b/>
          <w:sz w:val="28"/>
          <w:szCs w:val="24"/>
        </w:rPr>
      </w:pPr>
    </w:p>
    <w:p w:rsidR="00931C42" w:rsidRPr="00931C42" w:rsidRDefault="005603C7" w:rsidP="0048262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6</w:t>
      </w:r>
      <w:r w:rsidR="00931C42" w:rsidRPr="00931C42">
        <w:rPr>
          <w:rFonts w:ascii="Times New Roman" w:hAnsi="Times New Roman" w:cs="Times New Roman"/>
          <w:b/>
          <w:sz w:val="28"/>
          <w:szCs w:val="28"/>
        </w:rPr>
        <w:t xml:space="preserve">. Medzirezortná pracovná skupina na najvyššej úrovni pre </w:t>
      </w:r>
      <w:proofErr w:type="spellStart"/>
      <w:r w:rsidR="00931C42" w:rsidRPr="00931C42">
        <w:rPr>
          <w:rFonts w:ascii="Times New Roman" w:hAnsi="Times New Roman" w:cs="Times New Roman"/>
          <w:b/>
          <w:sz w:val="28"/>
          <w:szCs w:val="28"/>
        </w:rPr>
        <w:t>Doing</w:t>
      </w:r>
      <w:proofErr w:type="spellEnd"/>
      <w:r w:rsidR="00931C42" w:rsidRPr="00931C42">
        <w:rPr>
          <w:rFonts w:ascii="Times New Roman" w:hAnsi="Times New Roman" w:cs="Times New Roman"/>
          <w:b/>
          <w:sz w:val="28"/>
          <w:szCs w:val="28"/>
        </w:rPr>
        <w:t xml:space="preserve"> </w:t>
      </w:r>
      <w:proofErr w:type="spellStart"/>
      <w:r w:rsidR="00931C42" w:rsidRPr="00931C42">
        <w:rPr>
          <w:rFonts w:ascii="Times New Roman" w:hAnsi="Times New Roman" w:cs="Times New Roman"/>
          <w:b/>
          <w:sz w:val="28"/>
          <w:szCs w:val="28"/>
        </w:rPr>
        <w:t>Business</w:t>
      </w:r>
      <w:proofErr w:type="spellEnd"/>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Vláda SR sa vo svojom </w:t>
      </w:r>
      <w:r w:rsidR="0046533A">
        <w:rPr>
          <w:rFonts w:ascii="Times New Roman" w:hAnsi="Times New Roman" w:cs="Times New Roman"/>
          <w:sz w:val="24"/>
          <w:szCs w:val="24"/>
        </w:rPr>
        <w:t>p</w:t>
      </w:r>
      <w:r w:rsidRPr="00931C42">
        <w:rPr>
          <w:rFonts w:ascii="Times New Roman" w:hAnsi="Times New Roman" w:cs="Times New Roman"/>
          <w:sz w:val="24"/>
          <w:szCs w:val="24"/>
        </w:rPr>
        <w:t xml:space="preserve">rogramovom vyhlásení v časti Hospodárska politika zaviazala </w:t>
      </w:r>
      <w:r w:rsidRPr="00931C42">
        <w:rPr>
          <w:rFonts w:ascii="Times New Roman" w:hAnsi="Times New Roman" w:cs="Times New Roman"/>
          <w:i/>
          <w:sz w:val="24"/>
          <w:szCs w:val="24"/>
        </w:rPr>
        <w:t xml:space="preserve">vytvoriť predpoklady na systematické zlepšovanie postavenia SR voči krajinám OECD a EÚ v hodnoteniach podnikateľského prostredia, napríklad postavenie SR v </w:t>
      </w:r>
      <w:proofErr w:type="spellStart"/>
      <w:r w:rsidRPr="00931C42">
        <w:rPr>
          <w:rFonts w:ascii="Times New Roman" w:hAnsi="Times New Roman" w:cs="Times New Roman"/>
          <w:i/>
          <w:sz w:val="24"/>
          <w:szCs w:val="24"/>
        </w:rPr>
        <w:t>Doing</w:t>
      </w:r>
      <w:proofErr w:type="spellEnd"/>
      <w:r w:rsidRPr="00931C42">
        <w:rPr>
          <w:rFonts w:ascii="Times New Roman" w:hAnsi="Times New Roman" w:cs="Times New Roman"/>
          <w:i/>
          <w:sz w:val="24"/>
          <w:szCs w:val="24"/>
        </w:rPr>
        <w:t xml:space="preserve"> </w:t>
      </w:r>
      <w:proofErr w:type="spellStart"/>
      <w:r w:rsidRPr="00931C42">
        <w:rPr>
          <w:rFonts w:ascii="Times New Roman" w:hAnsi="Times New Roman" w:cs="Times New Roman"/>
          <w:i/>
          <w:sz w:val="24"/>
          <w:szCs w:val="24"/>
        </w:rPr>
        <w:t>Business</w:t>
      </w:r>
      <w:proofErr w:type="spellEnd"/>
      <w:r w:rsidRPr="00931C42">
        <w:rPr>
          <w:rFonts w:ascii="Times New Roman" w:hAnsi="Times New Roman" w:cs="Times New Roman"/>
          <w:i/>
          <w:sz w:val="24"/>
          <w:szCs w:val="24"/>
        </w:rPr>
        <w:t>.</w:t>
      </w:r>
      <w:r w:rsidRPr="00931C42">
        <w:rPr>
          <w:rFonts w:ascii="Times New Roman" w:hAnsi="Times New Roman" w:cs="Times New Roman"/>
          <w:sz w:val="24"/>
          <w:szCs w:val="24"/>
        </w:rPr>
        <w:t xml:space="preserve"> V</w:t>
      </w:r>
      <w:r w:rsidR="000143E4">
        <w:rPr>
          <w:rFonts w:ascii="Times New Roman" w:hAnsi="Times New Roman" w:cs="Times New Roman"/>
          <w:sz w:val="24"/>
          <w:szCs w:val="24"/>
        </w:rPr>
        <w:t> </w:t>
      </w:r>
      <w:r w:rsidRPr="00931C42">
        <w:rPr>
          <w:rFonts w:ascii="Times New Roman" w:hAnsi="Times New Roman" w:cs="Times New Roman"/>
          <w:sz w:val="24"/>
          <w:szCs w:val="24"/>
        </w:rPr>
        <w:t xml:space="preserve">kontexte uvedeného záväzku MH SR zriadilo Medzirezortnú pracovnú skupinu na najvyššej úrovni pre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(ďalej len „Medzirezortná skupina“), ktorej cieľom je iniciovať identifikovanie kritických miest SR vo všetkých sledovaných indikátoroch Svetovej banky v</w:t>
      </w:r>
      <w:r w:rsidR="000143E4">
        <w:rPr>
          <w:rFonts w:ascii="Times New Roman" w:hAnsi="Times New Roman" w:cs="Times New Roman"/>
          <w:sz w:val="24"/>
          <w:szCs w:val="24"/>
        </w:rPr>
        <w:t> </w:t>
      </w:r>
      <w:r w:rsidRPr="00931C42">
        <w:rPr>
          <w:rFonts w:ascii="Times New Roman" w:hAnsi="Times New Roman" w:cs="Times New Roman"/>
          <w:sz w:val="24"/>
          <w:szCs w:val="24"/>
        </w:rPr>
        <w:t xml:space="preserve">hodnotení </w:t>
      </w:r>
      <w:proofErr w:type="spellStart"/>
      <w:r w:rsidRPr="00931C42">
        <w:rPr>
          <w:rFonts w:ascii="Times New Roman" w:hAnsi="Times New Roman" w:cs="Times New Roman"/>
          <w:sz w:val="24"/>
          <w:szCs w:val="24"/>
        </w:rPr>
        <w:t>Doing</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a odstránenie týchto nedostatkov.</w:t>
      </w:r>
    </w:p>
    <w:p w:rsidR="00931C42" w:rsidRPr="00931C42" w:rsidRDefault="00931C42" w:rsidP="00931C42">
      <w:pPr>
        <w:tabs>
          <w:tab w:val="left" w:pos="-1440"/>
          <w:tab w:val="left" w:pos="-720"/>
          <w:tab w:val="left" w:pos="0"/>
          <w:tab w:val="left" w:pos="567"/>
          <w:tab w:val="left" w:pos="1134"/>
          <w:tab w:val="center" w:pos="1680"/>
          <w:tab w:val="left" w:pos="2256"/>
          <w:tab w:val="left" w:pos="2832"/>
          <w:tab w:val="left" w:pos="3360"/>
          <w:tab w:val="left" w:pos="3936"/>
          <w:tab w:val="left" w:pos="4512"/>
          <w:tab w:val="left" w:pos="5088"/>
          <w:tab w:val="left" w:pos="5760"/>
          <w:tab w:val="left" w:pos="6480"/>
          <w:tab w:val="left" w:pos="7200"/>
          <w:tab w:val="left" w:pos="7920"/>
          <w:tab w:val="left" w:pos="8640"/>
          <w:tab w:val="left" w:pos="9360"/>
          <w:tab w:val="left" w:pos="10080"/>
          <w:tab w:val="left" w:pos="10176"/>
          <w:tab w:val="left" w:pos="11520"/>
        </w:tabs>
        <w:suppressAutoHyphens/>
        <w:spacing w:after="0" w:line="240" w:lineRule="auto"/>
        <w:ind w:firstLine="756"/>
        <w:jc w:val="both"/>
        <w:rPr>
          <w:rFonts w:ascii="Times New Roman" w:eastAsia="Times New Roman" w:hAnsi="Times New Roman" w:cs="Times New Roman"/>
          <w:bCs/>
          <w:spacing w:val="-3"/>
          <w:sz w:val="24"/>
          <w:szCs w:val="24"/>
          <w:lang w:eastAsia="sk-SK"/>
        </w:rPr>
      </w:pPr>
      <w:r w:rsidRPr="00931C42">
        <w:rPr>
          <w:rFonts w:ascii="Times New Roman" w:eastAsia="Times New Roman" w:hAnsi="Times New Roman" w:cs="Times New Roman"/>
          <w:sz w:val="24"/>
          <w:szCs w:val="24"/>
          <w:lang w:eastAsia="sk-SK"/>
        </w:rPr>
        <w:t xml:space="preserve">Ambíciou MH SR je </w:t>
      </w:r>
      <w:r w:rsidRPr="00931C42">
        <w:rPr>
          <w:rFonts w:ascii="Times New Roman" w:eastAsia="Times New Roman" w:hAnsi="Times New Roman" w:cs="Times New Roman"/>
          <w:bCs/>
          <w:spacing w:val="-3"/>
          <w:sz w:val="24"/>
          <w:szCs w:val="24"/>
          <w:lang w:eastAsia="sk-SK"/>
        </w:rPr>
        <w:t xml:space="preserve">riešiť nielen porovnania kvality podnikateľského prostredia na Slovensku s inými krajinami, ale i zamerať sa </w:t>
      </w:r>
      <w:r w:rsidRPr="00931C42">
        <w:rPr>
          <w:rFonts w:ascii="Times New Roman" w:eastAsia="Times New Roman" w:hAnsi="Times New Roman" w:cs="Times New Roman"/>
          <w:bCs/>
          <w:i/>
          <w:spacing w:val="-3"/>
          <w:sz w:val="24"/>
          <w:szCs w:val="24"/>
          <w:lang w:eastAsia="sk-SK"/>
        </w:rPr>
        <w:t>na riešenie konkrétnych problémov slovenských podnikateľov prierezovo aj vo vzťahu k agendám</w:t>
      </w:r>
      <w:r w:rsidRPr="00931C42">
        <w:rPr>
          <w:rFonts w:ascii="Times New Roman" w:eastAsia="Times New Roman" w:hAnsi="Times New Roman" w:cs="Times New Roman"/>
          <w:bCs/>
          <w:spacing w:val="-3"/>
          <w:sz w:val="24"/>
          <w:szCs w:val="24"/>
          <w:lang w:eastAsia="sk-SK"/>
        </w:rPr>
        <w:t xml:space="preserve">, pri ktorých je na dosiahnutie optimálneho výsledku vhodná spolupráca medzi viacerými orgánmi štátnej správy. </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Cieľom Medzirezortnej skupiny je riešiť, resp. schváliť okruhy, opatrenia a kritické oblasti podnikania na úrovni štátu a zapracovať požiadavky z nižších pracovných skupín do rezortných materiálov. Mala by odborne a objektívne rozhodnúť o potrebe a výbere najvhodnejších opatrení so zreteľom na hlavný cieľ: „znižovať byrokraciu a zlepšiť kvalitu podnikateľského prostredia“.</w:t>
      </w:r>
    </w:p>
    <w:p w:rsidR="00931C42" w:rsidRPr="00931C42" w:rsidRDefault="00931C42" w:rsidP="00931C42">
      <w:pPr>
        <w:spacing w:after="0" w:line="240" w:lineRule="auto"/>
        <w:jc w:val="both"/>
        <w:rPr>
          <w:bCs/>
          <w:spacing w:val="-3"/>
          <w:szCs w:val="24"/>
        </w:rPr>
      </w:pPr>
      <w:r w:rsidRPr="00931C42">
        <w:rPr>
          <w:rFonts w:ascii="Times New Roman" w:hAnsi="Times New Roman" w:cs="Times New Roman"/>
          <w:sz w:val="24"/>
          <w:szCs w:val="24"/>
        </w:rPr>
        <w:tab/>
        <w:t xml:space="preserve">Obsahovú stránku a samotné detaily kritických oblastí podnikania a možných riešení bude tvoriť, analyzovať a pripravovať ciele a opatrenia </w:t>
      </w:r>
      <w:r w:rsidRPr="00931C42">
        <w:rPr>
          <w:rFonts w:ascii="Times New Roman" w:hAnsi="Times New Roman" w:cs="Times New Roman"/>
          <w:i/>
          <w:sz w:val="24"/>
          <w:szCs w:val="24"/>
        </w:rPr>
        <w:t>5</w:t>
      </w:r>
      <w:r w:rsidRPr="00931C42">
        <w:rPr>
          <w:rFonts w:ascii="Times New Roman" w:hAnsi="Times New Roman" w:cs="Times New Roman"/>
          <w:sz w:val="24"/>
          <w:szCs w:val="24"/>
        </w:rPr>
        <w:t xml:space="preserve"> </w:t>
      </w:r>
      <w:r w:rsidRPr="00931C42">
        <w:rPr>
          <w:rFonts w:ascii="Times New Roman" w:hAnsi="Times New Roman" w:cs="Times New Roman"/>
          <w:i/>
          <w:sz w:val="24"/>
          <w:szCs w:val="24"/>
        </w:rPr>
        <w:t xml:space="preserve">pracovných skupín – </w:t>
      </w:r>
      <w:r w:rsidRPr="00931C42">
        <w:rPr>
          <w:rFonts w:ascii="Times New Roman" w:hAnsi="Times New Roman" w:cs="Times New Roman"/>
          <w:sz w:val="24"/>
          <w:szCs w:val="24"/>
        </w:rPr>
        <w:t>1. Dane, 2. </w:t>
      </w:r>
      <w:r w:rsidRPr="00931C42">
        <w:rPr>
          <w:rFonts w:ascii="Times New Roman" w:hAnsi="Times New Roman" w:cs="Times New Roman"/>
          <w:bCs/>
          <w:spacing w:val="-3"/>
          <w:sz w:val="24"/>
          <w:szCs w:val="24"/>
        </w:rPr>
        <w:t xml:space="preserve">Služby verejnej správy, 3. Zamestnanosť, 4. Podpora podnikania a 5.Konkurencieschopnosť podnikov. Ad hoc pre riešenie prierezových oblastí je pracovná skupina </w:t>
      </w:r>
      <w:proofErr w:type="spellStart"/>
      <w:r w:rsidRPr="00931C42">
        <w:rPr>
          <w:rFonts w:ascii="Times New Roman" w:hAnsi="Times New Roman" w:cs="Times New Roman"/>
          <w:bCs/>
          <w:spacing w:val="-3"/>
          <w:sz w:val="24"/>
          <w:szCs w:val="24"/>
        </w:rPr>
        <w:t>Doing</w:t>
      </w:r>
      <w:proofErr w:type="spellEnd"/>
      <w:r w:rsidRPr="00931C42">
        <w:rPr>
          <w:rFonts w:ascii="Times New Roman" w:hAnsi="Times New Roman" w:cs="Times New Roman"/>
          <w:bCs/>
          <w:spacing w:val="-3"/>
          <w:sz w:val="24"/>
          <w:szCs w:val="24"/>
        </w:rPr>
        <w:t xml:space="preserve"> </w:t>
      </w:r>
      <w:proofErr w:type="spellStart"/>
      <w:r w:rsidRPr="00931C42">
        <w:rPr>
          <w:rFonts w:ascii="Times New Roman" w:hAnsi="Times New Roman" w:cs="Times New Roman"/>
          <w:bCs/>
          <w:spacing w:val="-3"/>
          <w:sz w:val="24"/>
          <w:szCs w:val="24"/>
        </w:rPr>
        <w:t>Business</w:t>
      </w:r>
      <w:proofErr w:type="spellEnd"/>
      <w:r w:rsidRPr="00931C42">
        <w:rPr>
          <w:bCs/>
          <w:spacing w:val="-3"/>
          <w:szCs w:val="24"/>
        </w:rPr>
        <w:t xml:space="preserve">. </w:t>
      </w:r>
    </w:p>
    <w:p w:rsidR="00931C42" w:rsidRPr="00931C42" w:rsidRDefault="00931C42" w:rsidP="00931C42">
      <w:pPr>
        <w:spacing w:after="0" w:line="240" w:lineRule="auto"/>
        <w:jc w:val="both"/>
        <w:rPr>
          <w:rFonts w:ascii="Times New Roman" w:hAnsi="Times New Roman" w:cs="Times New Roman"/>
          <w:bCs/>
          <w:spacing w:val="-3"/>
          <w:sz w:val="24"/>
          <w:szCs w:val="24"/>
        </w:rPr>
      </w:pPr>
      <w:r w:rsidRPr="00931C42">
        <w:rPr>
          <w:rFonts w:ascii="Times New Roman" w:hAnsi="Times New Roman" w:cs="Times New Roman"/>
          <w:bCs/>
          <w:spacing w:val="-3"/>
          <w:sz w:val="24"/>
          <w:szCs w:val="24"/>
        </w:rPr>
        <w:tab/>
        <w:t xml:space="preserve">Členmi Medzirezortnej skupiny sú zástupcovia ústredných orgánov štátnej správy, ktorých sa hodnotenie </w:t>
      </w:r>
      <w:proofErr w:type="spellStart"/>
      <w:r w:rsidRPr="00931C42">
        <w:rPr>
          <w:rFonts w:ascii="Times New Roman" w:hAnsi="Times New Roman" w:cs="Times New Roman"/>
          <w:bCs/>
          <w:spacing w:val="-3"/>
          <w:sz w:val="24"/>
          <w:szCs w:val="24"/>
        </w:rPr>
        <w:t>Doing</w:t>
      </w:r>
      <w:proofErr w:type="spellEnd"/>
      <w:r w:rsidRPr="00931C42">
        <w:rPr>
          <w:rFonts w:ascii="Times New Roman" w:hAnsi="Times New Roman" w:cs="Times New Roman"/>
          <w:bCs/>
          <w:spacing w:val="-3"/>
          <w:sz w:val="24"/>
          <w:szCs w:val="24"/>
        </w:rPr>
        <w:t xml:space="preserve"> </w:t>
      </w:r>
      <w:proofErr w:type="spellStart"/>
      <w:r w:rsidRPr="00931C42">
        <w:rPr>
          <w:rFonts w:ascii="Times New Roman" w:hAnsi="Times New Roman" w:cs="Times New Roman"/>
          <w:bCs/>
          <w:spacing w:val="-3"/>
          <w:sz w:val="24"/>
          <w:szCs w:val="24"/>
        </w:rPr>
        <w:t>Business</w:t>
      </w:r>
      <w:proofErr w:type="spellEnd"/>
      <w:r w:rsidRPr="00931C42">
        <w:rPr>
          <w:rFonts w:ascii="Times New Roman" w:hAnsi="Times New Roman" w:cs="Times New Roman"/>
          <w:bCs/>
          <w:spacing w:val="-3"/>
          <w:sz w:val="24"/>
          <w:szCs w:val="24"/>
        </w:rPr>
        <w:t xml:space="preserve"> týka, a to Ministerstvo financií SR, Ministerstvo práce, sociálnych vecí a rodiny SR, Ministerstvo školstva, vedy, výskumu a športu SR, Ministerstvo dopravy, výstavby a regionálneho rozvoja SR, Ministerstvo spravodlivosti SR, Ministerstvo vnútra SR, Štatistický úrad </w:t>
      </w:r>
      <w:r w:rsidR="00D72C96">
        <w:rPr>
          <w:rFonts w:ascii="Times New Roman" w:hAnsi="Times New Roman" w:cs="Times New Roman"/>
          <w:bCs/>
          <w:spacing w:val="-3"/>
          <w:sz w:val="24"/>
          <w:szCs w:val="24"/>
        </w:rPr>
        <w:t>SR</w:t>
      </w:r>
      <w:r w:rsidRPr="00931C42">
        <w:rPr>
          <w:rFonts w:ascii="Times New Roman" w:hAnsi="Times New Roman" w:cs="Times New Roman"/>
          <w:bCs/>
          <w:spacing w:val="-3"/>
          <w:sz w:val="24"/>
          <w:szCs w:val="24"/>
        </w:rPr>
        <w:t xml:space="preserve">, Úrad na ochranu osobných údajov </w:t>
      </w:r>
      <w:r w:rsidR="00D72C96">
        <w:rPr>
          <w:rFonts w:ascii="Times New Roman" w:hAnsi="Times New Roman" w:cs="Times New Roman"/>
          <w:bCs/>
          <w:spacing w:val="-3"/>
          <w:sz w:val="24"/>
          <w:szCs w:val="24"/>
        </w:rPr>
        <w:t>SR</w:t>
      </w:r>
      <w:r w:rsidRPr="00931C42">
        <w:rPr>
          <w:rFonts w:ascii="Times New Roman" w:hAnsi="Times New Roman" w:cs="Times New Roman"/>
          <w:bCs/>
          <w:spacing w:val="-3"/>
          <w:sz w:val="24"/>
          <w:szCs w:val="24"/>
        </w:rPr>
        <w:t xml:space="preserve"> a zástupca Úradu podpredsedu vlády SR pre investície a informatizáciu. Medzirezortnú skupinu zvoláva a vedie </w:t>
      </w:r>
      <w:r w:rsidR="00702C76" w:rsidRPr="00931C42">
        <w:rPr>
          <w:rFonts w:ascii="Times New Roman" w:hAnsi="Times New Roman" w:cs="Times New Roman"/>
          <w:sz w:val="24"/>
          <w:szCs w:val="24"/>
        </w:rPr>
        <w:t>Ing. Rastislav Chovanec, PhD.</w:t>
      </w:r>
      <w:r w:rsidR="00702C76">
        <w:rPr>
          <w:rFonts w:ascii="Times New Roman" w:hAnsi="Times New Roman" w:cs="Times New Roman"/>
          <w:sz w:val="24"/>
          <w:szCs w:val="24"/>
        </w:rPr>
        <w:t xml:space="preserve">, </w:t>
      </w:r>
      <w:r w:rsidRPr="00931C42">
        <w:rPr>
          <w:rFonts w:ascii="Times New Roman" w:hAnsi="Times New Roman" w:cs="Times New Roman"/>
          <w:bCs/>
          <w:spacing w:val="-3"/>
          <w:sz w:val="24"/>
          <w:szCs w:val="24"/>
        </w:rPr>
        <w:t>štátny tajomník MH SR. Prvé zasadnutie sa konalo 04. 10. 2016 a jeho cieľom bolo oboznámiť prítomných s návrhom na činnosť Medzirezortnej skupiny a na vytvorenie pracovných skupín.</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Výsledkom činnosti a závermi rokovaní Medzirezortnej skupiny a jej pracovných skupín bude materiál na rokovanie vlády SR „</w:t>
      </w:r>
      <w:r w:rsidRPr="00931C42">
        <w:rPr>
          <w:rFonts w:ascii="Times New Roman" w:hAnsi="Times New Roman" w:cs="Times New Roman"/>
          <w:i/>
          <w:sz w:val="24"/>
          <w:szCs w:val="24"/>
        </w:rPr>
        <w:t>Opatrenia na zlepšenie podnikateľského prostredia“, ktorý si MH SR navrhlo do Plánu práce vlády SR na rok 2017 na mesiac jún</w:t>
      </w:r>
      <w:r w:rsidRPr="00931C42">
        <w:rPr>
          <w:rFonts w:ascii="Times New Roman" w:hAnsi="Times New Roman" w:cs="Times New Roman"/>
          <w:sz w:val="24"/>
          <w:szCs w:val="24"/>
        </w:rPr>
        <w:t>.</w:t>
      </w:r>
    </w:p>
    <w:p w:rsidR="00931C42" w:rsidRPr="008F6FBD" w:rsidRDefault="00931C42" w:rsidP="00931C42">
      <w:pPr>
        <w:spacing w:after="0" w:line="240" w:lineRule="auto"/>
        <w:jc w:val="both"/>
        <w:rPr>
          <w:rFonts w:ascii="Times New Roman" w:hAnsi="Times New Roman" w:cs="Times New Roman"/>
          <w:sz w:val="28"/>
          <w:szCs w:val="28"/>
        </w:rPr>
      </w:pPr>
    </w:p>
    <w:p w:rsidR="00931C42" w:rsidRPr="008F6FBD" w:rsidRDefault="00931C42" w:rsidP="00931C42">
      <w:pPr>
        <w:spacing w:after="0" w:line="240" w:lineRule="auto"/>
        <w:jc w:val="both"/>
        <w:rPr>
          <w:rFonts w:ascii="Times New Roman" w:hAnsi="Times New Roman" w:cs="Times New Roman"/>
          <w:sz w:val="28"/>
          <w:szCs w:val="28"/>
        </w:rPr>
      </w:pPr>
    </w:p>
    <w:p w:rsidR="00931C42" w:rsidRPr="00931C42" w:rsidRDefault="005603C7" w:rsidP="00931C4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w:t>
      </w:r>
      <w:r w:rsidR="00931C42" w:rsidRPr="00931C42">
        <w:rPr>
          <w:rFonts w:ascii="Times New Roman" w:hAnsi="Times New Roman" w:cs="Times New Roman"/>
          <w:b/>
          <w:sz w:val="28"/>
          <w:szCs w:val="28"/>
        </w:rPr>
        <w:t>. Agenda lepšej regulácie a zlepšovanie podnikateľského prostredia v SR</w:t>
      </w:r>
    </w:p>
    <w:p w:rsidR="00931C42" w:rsidRPr="00931C42" w:rsidRDefault="00931C42" w:rsidP="00931C42">
      <w:pPr>
        <w:spacing w:after="0" w:line="240" w:lineRule="auto"/>
        <w:jc w:val="both"/>
        <w:rPr>
          <w:rFonts w:ascii="Times New Roman" w:hAnsi="Times New Roman" w:cs="Times New Roman"/>
          <w:b/>
          <w:sz w:val="28"/>
          <w:szCs w:val="28"/>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MH SR je gestorom agendy lepšej regulácie </w:t>
      </w:r>
      <w:r w:rsidR="00D72C96">
        <w:rPr>
          <w:rFonts w:ascii="Times New Roman" w:hAnsi="Times New Roman" w:cs="Times New Roman"/>
          <w:sz w:val="24"/>
          <w:szCs w:val="24"/>
        </w:rPr>
        <w:t>v SR</w:t>
      </w:r>
      <w:r w:rsidRPr="00931C42">
        <w:rPr>
          <w:rFonts w:ascii="Times New Roman" w:hAnsi="Times New Roman" w:cs="Times New Roman"/>
          <w:sz w:val="24"/>
          <w:szCs w:val="24"/>
        </w:rPr>
        <w:t xml:space="preserve">. Táto agenda zahŕňa </w:t>
      </w:r>
      <w:proofErr w:type="spellStart"/>
      <w:r w:rsidRPr="00931C42">
        <w:rPr>
          <w:rFonts w:ascii="Times New Roman" w:hAnsi="Times New Roman" w:cs="Times New Roman"/>
          <w:sz w:val="24"/>
          <w:szCs w:val="24"/>
        </w:rPr>
        <w:t>ex-ante</w:t>
      </w:r>
      <w:proofErr w:type="spellEnd"/>
      <w:r w:rsidRPr="00931C42">
        <w:rPr>
          <w:rFonts w:ascii="Times New Roman" w:hAnsi="Times New Roman" w:cs="Times New Roman"/>
          <w:sz w:val="24"/>
          <w:szCs w:val="24"/>
        </w:rPr>
        <w:t xml:space="preserve"> a </w:t>
      </w:r>
      <w:proofErr w:type="spellStart"/>
      <w:r w:rsidRPr="00931C42">
        <w:rPr>
          <w:rFonts w:ascii="Times New Roman" w:hAnsi="Times New Roman" w:cs="Times New Roman"/>
          <w:sz w:val="24"/>
          <w:szCs w:val="24"/>
        </w:rPr>
        <w:t>ex-post</w:t>
      </w:r>
      <w:proofErr w:type="spellEnd"/>
      <w:r w:rsidRPr="00931C42">
        <w:rPr>
          <w:rFonts w:ascii="Times New Roman" w:hAnsi="Times New Roman" w:cs="Times New Roman"/>
          <w:sz w:val="24"/>
          <w:szCs w:val="24"/>
        </w:rPr>
        <w:t xml:space="preserve"> nástroje na zvýšenie kvality právnych predpisov v záujme ich účelnosti a odbúravania nadbytočného regulačného zaťaženia. Tejto problematike sa ministerstvo venuje dlhodobo. V rámci lepšej regulácie sa rozlišuje </w:t>
      </w:r>
      <w:proofErr w:type="spellStart"/>
      <w:r w:rsidRPr="00931C42">
        <w:rPr>
          <w:rFonts w:ascii="Times New Roman" w:hAnsi="Times New Roman" w:cs="Times New Roman"/>
          <w:sz w:val="24"/>
          <w:szCs w:val="24"/>
        </w:rPr>
        <w:t>ex-ante</w:t>
      </w:r>
      <w:proofErr w:type="spellEnd"/>
      <w:r w:rsidRPr="00931C42">
        <w:rPr>
          <w:rFonts w:ascii="Times New Roman" w:hAnsi="Times New Roman" w:cs="Times New Roman"/>
          <w:sz w:val="24"/>
          <w:szCs w:val="24"/>
        </w:rPr>
        <w:t xml:space="preserve"> posudzovanie vplyvov navrhovaných materiálov (RIA – </w:t>
      </w:r>
      <w:proofErr w:type="spellStart"/>
      <w:r w:rsidRPr="00931C42">
        <w:rPr>
          <w:rFonts w:ascii="Times New Roman" w:hAnsi="Times New Roman" w:cs="Times New Roman"/>
          <w:sz w:val="24"/>
          <w:szCs w:val="24"/>
        </w:rPr>
        <w:t>Regulatory</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Impact</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Assessment</w:t>
      </w:r>
      <w:proofErr w:type="spellEnd"/>
      <w:r w:rsidRPr="00931C42">
        <w:rPr>
          <w:rFonts w:ascii="Times New Roman" w:hAnsi="Times New Roman" w:cs="Times New Roman"/>
          <w:sz w:val="24"/>
          <w:szCs w:val="24"/>
        </w:rPr>
        <w:t xml:space="preserve">) a </w:t>
      </w:r>
      <w:proofErr w:type="spellStart"/>
      <w:r w:rsidRPr="00931C42">
        <w:rPr>
          <w:rFonts w:ascii="Times New Roman" w:hAnsi="Times New Roman" w:cs="Times New Roman"/>
          <w:sz w:val="24"/>
          <w:szCs w:val="24"/>
        </w:rPr>
        <w:t>ex-post</w:t>
      </w:r>
      <w:proofErr w:type="spellEnd"/>
      <w:r w:rsidRPr="00931C42">
        <w:rPr>
          <w:rFonts w:ascii="Times New Roman" w:hAnsi="Times New Roman" w:cs="Times New Roman"/>
          <w:sz w:val="24"/>
          <w:szCs w:val="24"/>
        </w:rPr>
        <w:t xml:space="preserve"> hodnotenie účelnosti existujúcich regulácií.</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V roku 2014 sa začala implementovať zásadná reforma lepšej regulácie, konkrétne procesu posudzovania vplyvov, ktorá už prináša prvé pozitívne výsledky. Na základe novelizovanej Jednotnej metodiky na posudzovanie vybraných vplyvov (ďalej len „jednotná metodika“), účinnej od 01. 10. 2015, sa do procesu posudzovania vplyvov zaviedlo niekoľko dôležitých zmien. Pre úplnosť je potrebné ešte doplniť, že jednotná metodika v roku 2016 prešla obsahovo menšou novelizáciou, ktorá sa týkala začlenenia analytického posúdenia vybraných vplyvov na SR do riadneho predbežného stanoviska (čl. 12 ods. 4 Systému tvorby stanovísk k návrhom aktov EÚ a stavu koordinácie realizácie politík EÚ) a novej kategórie vybraných vplyvov - vplyvy na služby verejnej správy pre občana. Najdôležitejšie zmeny v procese </w:t>
      </w:r>
      <w:r w:rsidRPr="00931C42">
        <w:rPr>
          <w:rFonts w:ascii="Times New Roman" w:hAnsi="Times New Roman" w:cs="Times New Roman"/>
          <w:sz w:val="24"/>
          <w:szCs w:val="24"/>
        </w:rPr>
        <w:lastRenderedPageBreak/>
        <w:t xml:space="preserve">posudzovania vplyvov od 01. 10. 2015, ktoré sa týkajú podnikateľského prostredia, sú zriadenie Stálej pracovnej komisie Legislatívnej rady vlády SR na posudzovanie vybraných vplyvov pri Ministerstve hospodárstva SR (ďalej len „komisia“), zavedenie inštitútu konzultácií s podnikateľskými subjektmi a zavedenie testu vplyvov na malé a stredné podniky. </w:t>
      </w:r>
    </w:p>
    <w:p w:rsidR="004B23A0" w:rsidRPr="00931C42" w:rsidRDefault="004B23A0"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sz w:val="24"/>
          <w:szCs w:val="24"/>
        </w:rPr>
        <w:t xml:space="preserve">Schéma 8.1 Proces posudzovania vplyvov (RIA) v SR od </w:t>
      </w:r>
      <w:r w:rsidR="007B6AAF">
        <w:rPr>
          <w:rFonts w:ascii="Times New Roman" w:hAnsi="Times New Roman" w:cs="Times New Roman"/>
          <w:b/>
          <w:sz w:val="24"/>
          <w:szCs w:val="24"/>
        </w:rPr>
        <w:t>0</w:t>
      </w:r>
      <w:r w:rsidRPr="00931C42">
        <w:rPr>
          <w:rFonts w:ascii="Times New Roman" w:hAnsi="Times New Roman" w:cs="Times New Roman"/>
          <w:b/>
          <w:sz w:val="24"/>
          <w:szCs w:val="24"/>
        </w:rPr>
        <w:t>1. 10. 2015</w:t>
      </w: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b/>
          <w:noProof/>
          <w:sz w:val="24"/>
          <w:szCs w:val="24"/>
          <w:lang w:eastAsia="sk-SK"/>
        </w:rPr>
        <w:drawing>
          <wp:inline distT="0" distB="0" distL="0" distR="0" wp14:anchorId="445D6876" wp14:editId="4E7D6097">
            <wp:extent cx="5761131" cy="2940423"/>
            <wp:effectExtent l="0" t="0" r="0" b="0"/>
            <wp:docPr id="20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720" cy="2940213"/>
                    </a:xfrm>
                    <a:prstGeom prst="rect">
                      <a:avLst/>
                    </a:prstGeom>
                    <a:noFill/>
                    <a:ln>
                      <a:noFill/>
                    </a:ln>
                    <a:effectLst/>
                    <a:extLst/>
                  </pic:spPr>
                </pic:pic>
              </a:graphicData>
            </a:graphic>
          </wp:inline>
        </w:drawing>
      </w:r>
    </w:p>
    <w:p w:rsidR="00931C42" w:rsidRPr="00931C42" w:rsidRDefault="00931C42" w:rsidP="00931C42">
      <w:pPr>
        <w:spacing w:after="0" w:line="240" w:lineRule="auto"/>
        <w:jc w:val="both"/>
        <w:rPr>
          <w:rFonts w:ascii="Times New Roman" w:hAnsi="Times New Roman" w:cs="Times New Roman"/>
          <w:b/>
          <w:sz w:val="24"/>
          <w:szCs w:val="24"/>
        </w:rPr>
      </w:pPr>
      <w:r w:rsidRPr="00931C42">
        <w:rPr>
          <w:rFonts w:ascii="Times New Roman" w:hAnsi="Times New Roman" w:cs="Times New Roman"/>
          <w:sz w:val="20"/>
          <w:szCs w:val="20"/>
        </w:rPr>
        <w:t>Zdroj: vlastné spracovanie</w:t>
      </w:r>
    </w:p>
    <w:p w:rsidR="004A052F" w:rsidRDefault="004A052F" w:rsidP="00931C42">
      <w:pPr>
        <w:spacing w:after="0" w:line="240" w:lineRule="auto"/>
        <w:jc w:val="both"/>
        <w:rPr>
          <w:rFonts w:ascii="Times New Roman" w:hAnsi="Times New Roman" w:cs="Times New Roman"/>
          <w:b/>
          <w:sz w:val="24"/>
          <w:szCs w:val="24"/>
        </w:rPr>
      </w:pPr>
    </w:p>
    <w:p w:rsidR="004A052F" w:rsidRDefault="004A052F" w:rsidP="00931C42">
      <w:pPr>
        <w:spacing w:after="0" w:line="240" w:lineRule="auto"/>
        <w:jc w:val="both"/>
        <w:rPr>
          <w:rFonts w:ascii="Times New Roman" w:hAnsi="Times New Roman" w:cs="Times New Roman"/>
          <w:b/>
          <w:sz w:val="24"/>
          <w:szCs w:val="24"/>
        </w:rPr>
      </w:pPr>
    </w:p>
    <w:p w:rsidR="00931C42" w:rsidRPr="00931C42" w:rsidRDefault="005603C7" w:rsidP="00931C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 xml:space="preserve">.1. </w:t>
      </w:r>
      <w:r w:rsidR="00931C42" w:rsidRPr="00931C42">
        <w:rPr>
          <w:rFonts w:ascii="Times New Roman" w:hAnsi="Times New Roman" w:cs="Times New Roman"/>
          <w:b/>
          <w:sz w:val="24"/>
          <w:szCs w:val="24"/>
        </w:rPr>
        <w:tab/>
        <w:t xml:space="preserve">Stála pracovná komisia Legislatívnej rady vlády SR na posudzovanie vybraných vplyvov pri Ministerstve hospodárstva SR </w:t>
      </w:r>
    </w:p>
    <w:p w:rsidR="00931C42" w:rsidRPr="00931C42" w:rsidRDefault="00931C42"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Komisia začala svoju činnosť zároveň s účinnosťou jednotnej metodiky, teda 01. 10. 2015. Zastáva funkciu národného koordinátora posudzovania vplyvov v SR. Tvoria ju zástupcovia gestorov jednotlivých vybraných vplyvov (Ministerstvo financií – vplyvy na rozpočet verejnej správy; Ministerstvo hospodárstva – vplyvy na podnikateľské prostredie; Ministerstvo práce, sociálnych vecí a rodiny – sociálne vplyvy; Ministerstvo životného prostredia – vplyvy na životné prostredie; Úrad podpredsedu vlády SR pre investície a informatizáciu – vplyvy na informatizáciu; Ministerstvo vnútra SR – vplyvy na služby verejnej správy pre občana), zástupca Úradu vlády SR a zástupca združenia na podporu malých a stredných podnikov. Predsedom komisie je Ing. Rastislav Chovanec, PhD., štátny tajomník </w:t>
      </w:r>
      <w:r w:rsidR="00702C76">
        <w:rPr>
          <w:rFonts w:ascii="Times New Roman" w:hAnsi="Times New Roman" w:cs="Times New Roman"/>
          <w:sz w:val="24"/>
          <w:szCs w:val="24"/>
        </w:rPr>
        <w:t>MH</w:t>
      </w:r>
      <w:r w:rsidRPr="00931C42">
        <w:rPr>
          <w:rFonts w:ascii="Times New Roman" w:hAnsi="Times New Roman" w:cs="Times New Roman"/>
          <w:sz w:val="24"/>
          <w:szCs w:val="24"/>
        </w:rPr>
        <w:t xml:space="preserve"> SR. </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Hlavnými úlohami komisie sú odborné posúdenie kvality doložky vybraných vplyvov a analýz vybraných vplyvov a odborná podpora predkladateľom materiálov pri posudzovaní vplyvov. Pokiaľ ide o fázy legislatívneho procesu, komisia je činná v rámci predbežného pripomienkového konania a záverečného posúdenia vybraných vplyvov. V rámci svojich stanovísk sa komisia obmedzuje výlučne na problematiku posudzovania vybraných vplyvov, teda nepripomienkuje samotný obsah materiálu. </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 xml:space="preserve">Pripomienky komisie sa najčastejšie týkajú nesprávneho, resp. nedostatočného vyplnenia doložky vybraných vplyvov a jednotlivých analýz vybraných vplyvov, vyčíslenia nákladov, ktoré navrhovaný predpis prináša, ale aj nedodržiavania procesu posudzovania vybraných vplyvov. </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Prvý rok fungovania komisie je možné zhodnotiť jednoznačne pozitívne. V období od </w:t>
      </w:r>
      <w:r w:rsidR="005603C7">
        <w:rPr>
          <w:rFonts w:ascii="Times New Roman" w:hAnsi="Times New Roman" w:cs="Times New Roman"/>
          <w:sz w:val="24"/>
          <w:szCs w:val="24"/>
        </w:rPr>
        <w:t>0</w:t>
      </w:r>
      <w:r w:rsidRPr="00931C42">
        <w:rPr>
          <w:rFonts w:ascii="Times New Roman" w:hAnsi="Times New Roman" w:cs="Times New Roman"/>
          <w:sz w:val="24"/>
          <w:szCs w:val="24"/>
        </w:rPr>
        <w:t>1.</w:t>
      </w:r>
      <w:r w:rsidR="005603C7">
        <w:rPr>
          <w:rFonts w:ascii="Times New Roman" w:hAnsi="Times New Roman" w:cs="Times New Roman"/>
          <w:sz w:val="24"/>
          <w:szCs w:val="24"/>
        </w:rPr>
        <w:t> </w:t>
      </w:r>
      <w:r w:rsidRPr="00931C42">
        <w:rPr>
          <w:rFonts w:ascii="Times New Roman" w:hAnsi="Times New Roman" w:cs="Times New Roman"/>
          <w:sz w:val="24"/>
          <w:szCs w:val="24"/>
        </w:rPr>
        <w:t>10. 2015 do 15. 11. 2016 komisia posúdila 369 materiálov, veľkú väčšinu v rámci predbežného pripomienkového konania (181). 62 stanovísk komisie bolo súhlasných, 34</w:t>
      </w:r>
      <w:r w:rsidR="00DE50B7">
        <w:rPr>
          <w:rFonts w:ascii="Times New Roman" w:hAnsi="Times New Roman" w:cs="Times New Roman"/>
          <w:sz w:val="24"/>
          <w:szCs w:val="24"/>
        </w:rPr>
        <w:t> </w:t>
      </w:r>
      <w:r w:rsidRPr="00931C42">
        <w:rPr>
          <w:rFonts w:ascii="Times New Roman" w:hAnsi="Times New Roman" w:cs="Times New Roman"/>
          <w:sz w:val="24"/>
          <w:szCs w:val="24"/>
        </w:rPr>
        <w:t xml:space="preserve">stanovísk bolo súhlasných s pripomienkou a 85 stanovísk bolo nesúhlasných. 17 materiálom </w:t>
      </w:r>
      <w:r w:rsidRPr="00931C42">
        <w:rPr>
          <w:rFonts w:ascii="Times New Roman" w:hAnsi="Times New Roman" w:cs="Times New Roman"/>
          <w:sz w:val="24"/>
          <w:szCs w:val="24"/>
        </w:rPr>
        <w:lastRenderedPageBreak/>
        <w:t>komisia udelila výnimku z procesu. 62 materiálov komisia posudzovala v záverečnom posúdení. Komisia k nim vydala 20 súhlasných stanovísk, 11 súhlasných s pripomienkou a</w:t>
      </w:r>
      <w:r w:rsidR="00DE50B7">
        <w:rPr>
          <w:rFonts w:ascii="Times New Roman" w:hAnsi="Times New Roman" w:cs="Times New Roman"/>
          <w:sz w:val="24"/>
          <w:szCs w:val="24"/>
        </w:rPr>
        <w:t> </w:t>
      </w:r>
      <w:r w:rsidRPr="00931C42">
        <w:rPr>
          <w:rFonts w:ascii="Times New Roman" w:hAnsi="Times New Roman" w:cs="Times New Roman"/>
          <w:sz w:val="24"/>
          <w:szCs w:val="24"/>
        </w:rPr>
        <w:t>27</w:t>
      </w:r>
      <w:r w:rsidR="00DE50B7">
        <w:rPr>
          <w:rFonts w:ascii="Times New Roman" w:hAnsi="Times New Roman" w:cs="Times New Roman"/>
          <w:sz w:val="24"/>
          <w:szCs w:val="24"/>
        </w:rPr>
        <w:t> </w:t>
      </w:r>
      <w:r w:rsidRPr="00931C42">
        <w:rPr>
          <w:rFonts w:ascii="Times New Roman" w:hAnsi="Times New Roman" w:cs="Times New Roman"/>
          <w:sz w:val="24"/>
          <w:szCs w:val="24"/>
        </w:rPr>
        <w:t xml:space="preserve">nesúhlasných. Zvyšné materiály zaslané na komisiu sa týkali žiadosti o potrebe vykonania konzultácií, resp. informácie o príprave materiálu. V snahe o transparentnosť činnosti komisie a informovanie podnikateľov i verejnosti sú stanoviská komisie zverejňované v mesačnom intervale na </w:t>
      </w:r>
      <w:hyperlink r:id="rId32" w:anchor="38;ids=148134&amp;" w:history="1">
        <w:r w:rsidR="00AB0417">
          <w:rPr>
            <w:rFonts w:ascii="Times New Roman" w:hAnsi="Times New Roman" w:cs="Times New Roman"/>
            <w:sz w:val="24"/>
            <w:szCs w:val="24"/>
            <w:u w:val="single"/>
          </w:rPr>
          <w:t>webovom</w:t>
        </w:r>
      </w:hyperlink>
      <w:r w:rsidR="00AB0417">
        <w:rPr>
          <w:rFonts w:ascii="Times New Roman" w:hAnsi="Times New Roman" w:cs="Times New Roman"/>
          <w:sz w:val="24"/>
          <w:szCs w:val="24"/>
          <w:u w:val="single"/>
        </w:rPr>
        <w:t xml:space="preserve"> sídle</w:t>
      </w:r>
      <w:r w:rsidRPr="00931C42">
        <w:rPr>
          <w:rFonts w:ascii="Times New Roman" w:hAnsi="Times New Roman" w:cs="Times New Roman"/>
          <w:sz w:val="24"/>
          <w:szCs w:val="24"/>
        </w:rPr>
        <w:t xml:space="preserve"> MH SR.</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Okrem iného sa dá konštatovať aj zvýšenie kvality vypracovania doložiek vybraných vplyvov a analýz vybraných vplyvov (ako príklad možno uviesť zlepšenie v prípade materiálov so značnými vplyvmi, ktoré môže verejnosť vnímať veľmi citlivo – napr. návrh zákona, ktorým sa mení a dopĺňa zákon č. 340/2012 Z. z. o úhrade za služby verejnosti poskytované Rozhlasom a televíziou Slovenska a o zmene a doplnení niektorých zákonov v znení neskorších predpisov a</w:t>
      </w:r>
      <w:r w:rsidR="005603C7">
        <w:rPr>
          <w:rFonts w:ascii="Times New Roman" w:hAnsi="Times New Roman" w:cs="Times New Roman"/>
          <w:sz w:val="24"/>
          <w:szCs w:val="24"/>
        </w:rPr>
        <w:t> </w:t>
      </w:r>
      <w:r w:rsidRPr="00931C42">
        <w:rPr>
          <w:rFonts w:ascii="Times New Roman" w:hAnsi="Times New Roman" w:cs="Times New Roman"/>
          <w:sz w:val="24"/>
          <w:szCs w:val="24"/>
        </w:rPr>
        <w:t>ktorým sa mení a dopĺňa zákon č. 532/2010 Z. z. o Rozhlase a televízii Slovenska a o zmene a</w:t>
      </w:r>
      <w:r w:rsidR="005603C7">
        <w:rPr>
          <w:rFonts w:ascii="Times New Roman" w:hAnsi="Times New Roman" w:cs="Times New Roman"/>
          <w:sz w:val="24"/>
          <w:szCs w:val="24"/>
        </w:rPr>
        <w:t> </w:t>
      </w:r>
      <w:r w:rsidRPr="00931C42">
        <w:rPr>
          <w:rFonts w:ascii="Times New Roman" w:hAnsi="Times New Roman" w:cs="Times New Roman"/>
          <w:sz w:val="24"/>
          <w:szCs w:val="24"/>
        </w:rPr>
        <w:t>doplnení niektorých zákonov v znení neskorších predpisov, prípadne návrh na uzavretie koncesnej zmluvy vo verejnom obstarávaní koncesie na projektovanie, výstavbu, financovanie, prevádzku a údržbu úsekov diaľnice D4 Jarovce – Rača a rýchlostnej cesty R7 Bratislava Prievoz – Holice), ale aj zlepšujúca sa informovanosť predkladateľov o samotnom procese. Napriek tomu, že nesúhlasné stanovisko komisie neznamená zastavenie legislatívneho procesu, predkladatelia v takom prípade po zapracovaní pripomienok komisie často posielajú materiál na opätovné predbežné pripomienkové konanie.</w:t>
      </w:r>
    </w:p>
    <w:p w:rsidR="00931C42" w:rsidRPr="00931C42" w:rsidRDefault="00931C42" w:rsidP="00931C42">
      <w:pPr>
        <w:spacing w:after="0" w:line="240" w:lineRule="auto"/>
        <w:jc w:val="center"/>
        <w:rPr>
          <w:rFonts w:ascii="Times New Roman" w:hAnsi="Times New Roman" w:cs="Times New Roman"/>
          <w:b/>
          <w:sz w:val="24"/>
          <w:szCs w:val="24"/>
        </w:rPr>
      </w:pPr>
    </w:p>
    <w:p w:rsidR="00931C42" w:rsidRPr="00931C42" w:rsidRDefault="005603C7" w:rsidP="00931C42">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 xml:space="preserve">.2. </w:t>
      </w:r>
      <w:r w:rsidR="00931C42" w:rsidRPr="00931C42">
        <w:rPr>
          <w:rFonts w:ascii="Times New Roman" w:hAnsi="Times New Roman" w:cs="Times New Roman"/>
          <w:b/>
          <w:sz w:val="24"/>
          <w:szCs w:val="24"/>
        </w:rPr>
        <w:tab/>
        <w:t>Konzultácie s podnikateľskými subjektmi</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r>
    </w:p>
    <w:p w:rsidR="00931C42" w:rsidRPr="00931C42" w:rsidRDefault="00931C42" w:rsidP="00931C42">
      <w:pPr>
        <w:spacing w:after="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 xml:space="preserve">Jednotná metodika účinná od 01. 10. 2015 zavádza aj systém konzultácií s podnikateľskými subjektmi počas prípravy materiálu. O potrebe vykonania konzultácií s podnikateľskými subjektmi rozhoduje MH SR na základe Plánu legislatívnych úloh vlády </w:t>
      </w:r>
      <w:r w:rsidR="00D72C96">
        <w:rPr>
          <w:rFonts w:ascii="Times New Roman" w:hAnsi="Times New Roman" w:cs="Times New Roman"/>
          <w:sz w:val="24"/>
          <w:szCs w:val="24"/>
        </w:rPr>
        <w:t>SR</w:t>
      </w:r>
      <w:r w:rsidRPr="00931C42">
        <w:rPr>
          <w:rFonts w:ascii="Times New Roman" w:hAnsi="Times New Roman" w:cs="Times New Roman"/>
          <w:sz w:val="24"/>
          <w:szCs w:val="24"/>
        </w:rPr>
        <w:t xml:space="preserve">, Plánu práce vlády </w:t>
      </w:r>
      <w:r w:rsidR="00D72C96">
        <w:rPr>
          <w:rFonts w:ascii="Times New Roman" w:hAnsi="Times New Roman" w:cs="Times New Roman"/>
          <w:sz w:val="24"/>
          <w:szCs w:val="24"/>
        </w:rPr>
        <w:t>SR</w:t>
      </w:r>
      <w:r w:rsidRPr="00931C42">
        <w:rPr>
          <w:rFonts w:ascii="Times New Roman" w:hAnsi="Times New Roman" w:cs="Times New Roman"/>
          <w:sz w:val="24"/>
          <w:szCs w:val="24"/>
        </w:rPr>
        <w:t xml:space="preserve"> alebo informácie o príprave materiálu od samotného predkladateľa. Do konzultácií sa môžu zapojiť subjekty, ktoré osloví MH SR, resp. samotný predkladateľ materiálu. MH SR vytvorilo zoznam podnikateľských subjektov a ich zastupiteľských organizácií, ktoré majú záujem byť oslovené pri konzultáciách k návrhom týkajúcich sa podnikateľského prostredia a zverejnilo ho na </w:t>
      </w:r>
      <w:r w:rsidR="00AB0417">
        <w:rPr>
          <w:rFonts w:ascii="Times New Roman" w:hAnsi="Times New Roman" w:cs="Times New Roman"/>
          <w:sz w:val="24"/>
          <w:szCs w:val="24"/>
        </w:rPr>
        <w:t>svojom webovom sídle</w:t>
      </w:r>
      <w:r w:rsidRPr="00931C42">
        <w:rPr>
          <w:rFonts w:ascii="Times New Roman" w:hAnsi="Times New Roman" w:cs="Times New Roman"/>
          <w:sz w:val="24"/>
          <w:szCs w:val="24"/>
        </w:rPr>
        <w:t>. Zoznam ku dňu 14. 11. 2016 obsahuje 46 subjektov a je otvorený všetkým podnikateľským subjektom a združeniam. Na druhej strane slúži aj ministerstvám a ostatným ústredným orgánom štátnej správy na identifikáciu subjektov, ktoré môže predkladateľ osloviť pri príprave legislatívneho alebo nelegislatívneho materiálu predkladaného na rokovanie vlády SR.</w:t>
      </w:r>
    </w:p>
    <w:p w:rsidR="00931C42" w:rsidRPr="00931C42" w:rsidRDefault="00931C42" w:rsidP="00931C42">
      <w:pPr>
        <w:spacing w:after="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 xml:space="preserve">MH SR zverejňuje </w:t>
      </w:r>
      <w:hyperlink r:id="rId33" w:history="1">
        <w:r w:rsidRPr="00931C42">
          <w:rPr>
            <w:rFonts w:ascii="Times New Roman" w:hAnsi="Times New Roman" w:cs="Times New Roman"/>
            <w:sz w:val="24"/>
            <w:szCs w:val="24"/>
            <w:u w:val="single"/>
          </w:rPr>
          <w:t>zoznam legislatívnych úloh, ku ktorým je potrebné vykonať konzultácie s podnikateľskými subjektmi</w:t>
        </w:r>
      </w:hyperlink>
      <w:r w:rsidRPr="00931C42">
        <w:rPr>
          <w:rFonts w:ascii="Times New Roman" w:hAnsi="Times New Roman" w:cs="Times New Roman"/>
          <w:sz w:val="24"/>
          <w:szCs w:val="24"/>
        </w:rPr>
        <w:t xml:space="preserve"> v rámci aktuálneho obdobia (momentálne jún – december 2016), ako aj </w:t>
      </w:r>
      <w:hyperlink r:id="rId34" w:history="1">
        <w:r w:rsidRPr="00931C42">
          <w:rPr>
            <w:rFonts w:ascii="Times New Roman" w:hAnsi="Times New Roman" w:cs="Times New Roman"/>
            <w:sz w:val="24"/>
            <w:szCs w:val="24"/>
            <w:u w:val="single"/>
          </w:rPr>
          <w:t>zoznam úloh z Plánu práce vlády SR, ku ktorým je potrebné vykonať konzultácie s podnikateľskými subjektmi</w:t>
        </w:r>
      </w:hyperlink>
      <w:r w:rsidRPr="00931C42">
        <w:rPr>
          <w:rFonts w:ascii="Times New Roman" w:hAnsi="Times New Roman" w:cs="Times New Roman"/>
          <w:sz w:val="24"/>
          <w:szCs w:val="24"/>
        </w:rPr>
        <w:t xml:space="preserve"> (v súčasnosti rovnako za obdobie jún – december 2016). Podnikatelia môžu získať informácie aj o </w:t>
      </w:r>
      <w:hyperlink r:id="rId35" w:anchor="38;ids=146140&amp;" w:history="1">
        <w:r w:rsidRPr="00931C42">
          <w:rPr>
            <w:rFonts w:ascii="Times New Roman" w:hAnsi="Times New Roman" w:cs="Times New Roman"/>
            <w:sz w:val="24"/>
            <w:szCs w:val="24"/>
            <w:u w:val="single"/>
          </w:rPr>
          <w:t xml:space="preserve">prebiehajúcich konzultáciách a predbežných informáciách. </w:t>
        </w:r>
      </w:hyperlink>
      <w:r w:rsidRPr="00931C42">
        <w:rPr>
          <w:rFonts w:ascii="Times New Roman" w:hAnsi="Times New Roman" w:cs="Times New Roman"/>
          <w:sz w:val="24"/>
          <w:szCs w:val="24"/>
        </w:rPr>
        <w:t xml:space="preserve">Zástupcovia podnikateľských zväzov a združení sa k vplyvom materiálov na podnikateľské prostredie vyjadrujú aj počas predbežného pripomienkového konania. </w:t>
      </w:r>
    </w:p>
    <w:p w:rsidR="00931C42" w:rsidRPr="00931C42" w:rsidRDefault="00931C42" w:rsidP="00931C42">
      <w:pPr>
        <w:spacing w:after="0" w:line="240" w:lineRule="auto"/>
        <w:ind w:firstLine="709"/>
        <w:jc w:val="both"/>
        <w:rPr>
          <w:rFonts w:ascii="Times New Roman" w:hAnsi="Times New Roman" w:cs="Times New Roman"/>
          <w:sz w:val="24"/>
          <w:szCs w:val="24"/>
        </w:rPr>
      </w:pPr>
      <w:r w:rsidRPr="00931C42">
        <w:rPr>
          <w:rFonts w:ascii="Times New Roman" w:hAnsi="Times New Roman" w:cs="Times New Roman"/>
          <w:sz w:val="24"/>
          <w:szCs w:val="24"/>
        </w:rPr>
        <w:t xml:space="preserve">Predbežné informácie o príprave materiálov sú zverejňované na portáli </w:t>
      </w:r>
      <w:proofErr w:type="spellStart"/>
      <w:r w:rsidRPr="00931C42">
        <w:rPr>
          <w:rFonts w:ascii="Times New Roman" w:hAnsi="Times New Roman" w:cs="Times New Roman"/>
          <w:sz w:val="24"/>
          <w:szCs w:val="24"/>
        </w:rPr>
        <w:t>Slov-Lex</w:t>
      </w:r>
      <w:proofErr w:type="spellEnd"/>
      <w:r w:rsidRPr="00931C42">
        <w:rPr>
          <w:rFonts w:ascii="Times New Roman" w:hAnsi="Times New Roman" w:cs="Times New Roman"/>
          <w:sz w:val="24"/>
          <w:szCs w:val="24"/>
        </w:rPr>
        <w:t xml:space="preserve">, ale i na </w:t>
      </w:r>
      <w:hyperlink r:id="rId36" w:anchor="38;ids=146140&amp;" w:history="1">
        <w:r w:rsidR="00AB0417">
          <w:rPr>
            <w:rFonts w:ascii="Times New Roman" w:hAnsi="Times New Roman" w:cs="Times New Roman"/>
            <w:sz w:val="24"/>
            <w:szCs w:val="24"/>
            <w:u w:val="single"/>
          </w:rPr>
          <w:t>webovom sídle</w:t>
        </w:r>
        <w:r w:rsidRPr="00931C42">
          <w:rPr>
            <w:rFonts w:ascii="Times New Roman" w:hAnsi="Times New Roman" w:cs="Times New Roman"/>
            <w:sz w:val="24"/>
            <w:szCs w:val="24"/>
            <w:u w:val="single"/>
          </w:rPr>
          <w:t xml:space="preserve"> MH SR</w:t>
        </w:r>
      </w:hyperlink>
      <w:r w:rsidRPr="00931C42">
        <w:rPr>
          <w:rFonts w:ascii="Times New Roman" w:hAnsi="Times New Roman" w:cs="Times New Roman"/>
          <w:sz w:val="24"/>
          <w:szCs w:val="24"/>
        </w:rPr>
        <w:t xml:space="preserve"> a rovnako sú posielané podnikateľským subjektom so záujmom o</w:t>
      </w:r>
      <w:r w:rsidR="00EB6DFB">
        <w:rPr>
          <w:rFonts w:ascii="Times New Roman" w:hAnsi="Times New Roman" w:cs="Times New Roman"/>
          <w:sz w:val="24"/>
          <w:szCs w:val="24"/>
        </w:rPr>
        <w:t> </w:t>
      </w:r>
      <w:r w:rsidRPr="00931C42">
        <w:rPr>
          <w:rFonts w:ascii="Times New Roman" w:hAnsi="Times New Roman" w:cs="Times New Roman"/>
          <w:sz w:val="24"/>
          <w:szCs w:val="24"/>
        </w:rPr>
        <w:t>konzultácie Komisia od začiatku roka 2016 eviduje 119 informácií o príprave, predbežných informácií, resp. informácií o začatí konzultácií. Do konzultácií sa väčšinou zapájajú podnikateľské zväzy a združenia, výnimkou ale nie je aj zapojenie konkrétnych firiem, vrátane MSP. Evidenciou o miere zapojenia podnikateľov do konzultácií MH SR nedisponuje, nakoľko konzultácie sú v kompetencii predkladateľa.</w:t>
      </w:r>
    </w:p>
    <w:p w:rsidR="00931C42" w:rsidRPr="00931C42" w:rsidRDefault="00931C42" w:rsidP="00931C42">
      <w:pPr>
        <w:spacing w:after="0" w:line="240" w:lineRule="auto"/>
        <w:ind w:firstLine="709"/>
        <w:jc w:val="both"/>
        <w:rPr>
          <w:rFonts w:ascii="Times New Roman" w:hAnsi="Times New Roman" w:cs="Times New Roman"/>
          <w:sz w:val="24"/>
          <w:szCs w:val="24"/>
        </w:rPr>
      </w:pPr>
    </w:p>
    <w:p w:rsidR="00931C42" w:rsidRPr="00931C42" w:rsidRDefault="00E772E0" w:rsidP="00931C42">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 xml:space="preserve">.3. </w:t>
      </w:r>
      <w:r w:rsidR="00931C42" w:rsidRPr="00931C42">
        <w:rPr>
          <w:rFonts w:ascii="Times New Roman" w:hAnsi="Times New Roman" w:cs="Times New Roman"/>
          <w:b/>
          <w:sz w:val="24"/>
          <w:szCs w:val="24"/>
        </w:rPr>
        <w:tab/>
        <w:t>Test vplyvov na malé a stredné podniky</w:t>
      </w:r>
    </w:p>
    <w:p w:rsidR="00931C42" w:rsidRPr="00931C42" w:rsidRDefault="00931C42" w:rsidP="00931C42">
      <w:pPr>
        <w:spacing w:after="0" w:line="240" w:lineRule="auto"/>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Test vplyvov na malé a stredné podniky (ďalej len „test MSP“) je špecifický nástroj zameraný na vyhodnocovanie vplyvov pripravovaného materiálu osobitne na malé a stredné </w:t>
      </w:r>
      <w:r w:rsidRPr="00931C42">
        <w:rPr>
          <w:rFonts w:ascii="Times New Roman" w:hAnsi="Times New Roman" w:cs="Times New Roman"/>
          <w:sz w:val="24"/>
          <w:szCs w:val="24"/>
        </w:rPr>
        <w:lastRenderedPageBreak/>
        <w:t xml:space="preserve">podniky. Test MSP vykonáva združenie na podporu MSP (v súčasnosti Slovak </w:t>
      </w:r>
      <w:proofErr w:type="spellStart"/>
      <w:r w:rsidRPr="00931C42">
        <w:rPr>
          <w:rFonts w:ascii="Times New Roman" w:hAnsi="Times New Roman" w:cs="Times New Roman"/>
          <w:sz w:val="24"/>
          <w:szCs w:val="24"/>
        </w:rPr>
        <w:t>Business</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Agency</w:t>
      </w:r>
      <w:proofErr w:type="spellEnd"/>
      <w:r w:rsidRPr="00931C42">
        <w:rPr>
          <w:rFonts w:ascii="Times New Roman" w:hAnsi="Times New Roman" w:cs="Times New Roman"/>
          <w:sz w:val="24"/>
          <w:szCs w:val="24"/>
        </w:rPr>
        <w:t xml:space="preserve"> – SBA) prostredníctvom Centra lepšej regulácie v spolupráci s predkladateľom. Od 01. 10. 2015 do 15. 11. 2016 vykonala SBA 1 test MSP, a to k návrhu zákona, ktorým sa mení a dopĺňa zákon č. 340/2012 Z. z. o úhrade za služby verejnosti poskytované Rozhlasom a televíziou Slovenska a</w:t>
      </w:r>
      <w:r w:rsidR="00D72C96">
        <w:rPr>
          <w:rFonts w:ascii="Times New Roman" w:hAnsi="Times New Roman" w:cs="Times New Roman"/>
          <w:sz w:val="24"/>
          <w:szCs w:val="24"/>
        </w:rPr>
        <w:t> </w:t>
      </w:r>
      <w:r w:rsidRPr="00931C42">
        <w:rPr>
          <w:rFonts w:ascii="Times New Roman" w:hAnsi="Times New Roman" w:cs="Times New Roman"/>
          <w:sz w:val="24"/>
          <w:szCs w:val="24"/>
        </w:rPr>
        <w:t>o zmene a doplnení niektorých zákonov v znení neskorších predpisov a ktorým sa mení a dopĺňa zákon č. 532/2010 Z. z. o Rozhlase a televízii Slovenska a o zmene a doplnení niektorých zákonov v znení neskorších predpisov.</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 xml:space="preserve"> </w:t>
      </w:r>
    </w:p>
    <w:p w:rsidR="00931C42" w:rsidRPr="00931C42" w:rsidRDefault="00E772E0" w:rsidP="00931C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.4.</w:t>
      </w:r>
      <w:r w:rsidR="00931C42" w:rsidRPr="00931C42">
        <w:rPr>
          <w:rFonts w:ascii="Times New Roman" w:hAnsi="Times New Roman" w:cs="Times New Roman"/>
          <w:b/>
          <w:sz w:val="24"/>
          <w:szCs w:val="24"/>
        </w:rPr>
        <w:tab/>
        <w:t>Vyhodnotenie zmien procesu posudzovania vplyvov účinných od 01. 10. 2015</w:t>
      </w:r>
    </w:p>
    <w:p w:rsidR="00931C42" w:rsidRPr="00931C42" w:rsidRDefault="00931C42" w:rsidP="00931C42">
      <w:pPr>
        <w:spacing w:after="0" w:line="240" w:lineRule="auto"/>
        <w:jc w:val="both"/>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Po viac ako roku od zavedenia vyššie spomínaných zásadných zmien do procesu posudzovania vybraných vplyvov je možné konštatovať, že proces sa posunul na kvalitatívne vyššiu úroveň. Je to badateľné najmä na postupnom zvyšovaní kvality vypracovania doložiek vybraných vplyvov a analýz vybraných vplyvov, ale aj na zvyšovaní záujmu predkladateľov i podnikateľských subjektov o samotný proces. Mimoriadne pozitívne možno vnímať fakt, že mnoho predkladateľov po nesúhlasnom stanovisku komisie posiela materiál na opätovné predbežné pripomienkové konanie, i keď im takýto postup priamo nevyplýva z jednotnej metodiky ani z iných relevantných predpisov. Ďalším pozitívnym faktom je zvyšujúci sa záujem podnikateľských subjektov o konzultácie. Tretí nový prvok v procese - test MSP nemožno momentálne objektívne zhodnotiť, keďže bol doposiaľ vykonaný iba jedenkrát. </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Na druhej strane, riziko obchádzania procesu posudzovania vplyvov predkladateľmi je stále pomerne vysoké. Ďalším problémom z hľadiska vplyvov na podnikateľské prostredie je nedostatočne presné vyčíslenie nákladov, ktoré navrhované materiály prinášajú. MH SR bude na tieto, ale i ďalšie nedostatky procesu posudzovania vplyvov reagovať v blízkej budúcnosti.</w:t>
      </w:r>
    </w:p>
    <w:p w:rsidR="00931C42" w:rsidRPr="00931C42" w:rsidRDefault="00931C42" w:rsidP="00931C42">
      <w:pPr>
        <w:spacing w:after="0" w:line="240" w:lineRule="auto"/>
        <w:ind w:firstLine="708"/>
        <w:jc w:val="both"/>
        <w:rPr>
          <w:rFonts w:ascii="Times New Roman" w:hAnsi="Times New Roman" w:cs="Times New Roman"/>
          <w:sz w:val="24"/>
          <w:szCs w:val="24"/>
        </w:rPr>
      </w:pPr>
      <w:r w:rsidRPr="00931C42">
        <w:rPr>
          <w:rFonts w:ascii="Times New Roman" w:hAnsi="Times New Roman" w:cs="Times New Roman"/>
          <w:sz w:val="24"/>
          <w:szCs w:val="24"/>
        </w:rPr>
        <w:t>Komisia plánuje každoročne vydávať hodnotiacu správu, ktorá bude obsahovať detailnejšie informácie o jej činnosti. MH SR bude od roku 2017 pravidelne usporadúvať školenia k procesu posudzovania vplyvov, resp. k lepšej regulácii vo všeobecnosti pre subjekty zapojené do tohto procesu, najmä pre predkladateľov materiálov a analytikov, ktorí vypracúvajú doložky vybraných vplyvov a analýzy vybraných vplyvov. Tieto školenia by mali prispieť k ďalšiemu zvýšeniu kvality najmä analýz vybraných vplyvov.</w:t>
      </w:r>
    </w:p>
    <w:p w:rsidR="00931C42" w:rsidRPr="00931C42" w:rsidRDefault="00931C42" w:rsidP="00931C42">
      <w:pPr>
        <w:spacing w:after="0" w:line="240" w:lineRule="auto"/>
        <w:ind w:firstLine="708"/>
        <w:jc w:val="both"/>
        <w:rPr>
          <w:rFonts w:ascii="Times New Roman" w:hAnsi="Times New Roman" w:cs="Times New Roman"/>
          <w:sz w:val="24"/>
          <w:szCs w:val="24"/>
        </w:rPr>
      </w:pPr>
    </w:p>
    <w:p w:rsidR="00931C42" w:rsidRPr="00931C42" w:rsidRDefault="00E772E0" w:rsidP="00931C42">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.5.</w:t>
      </w:r>
      <w:r w:rsidR="00931C42" w:rsidRPr="00931C42">
        <w:rPr>
          <w:rFonts w:ascii="Times New Roman" w:hAnsi="Times New Roman" w:cs="Times New Roman"/>
          <w:b/>
          <w:sz w:val="24"/>
          <w:szCs w:val="24"/>
        </w:rPr>
        <w:tab/>
        <w:t>Lepšia regulácia v Európskej únií</w:t>
      </w:r>
    </w:p>
    <w:p w:rsidR="00931C42" w:rsidRPr="00931C42" w:rsidRDefault="00931C42" w:rsidP="00931C42">
      <w:pPr>
        <w:spacing w:after="0" w:line="240" w:lineRule="auto"/>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Slovensko je v agende lepšej regulácie aktívne aj na medzinárodnej úrovni, či už v rámci Európskej únie alebo OECD, kde sa snaží aktívne prispievať do diskusie k tejto téme a navrhovať nové riešenia. Prioritou SK PRES je vzťah regulácie a inovácií, čo bolo aj hlavnou témou stretnutia riaditeľov a expertov pre lepšiu reguláciu (DEBR – </w:t>
      </w:r>
      <w:proofErr w:type="spellStart"/>
      <w:r w:rsidRPr="00931C42">
        <w:rPr>
          <w:rFonts w:ascii="Times New Roman" w:hAnsi="Times New Roman" w:cs="Times New Roman"/>
          <w:sz w:val="24"/>
          <w:szCs w:val="24"/>
        </w:rPr>
        <w:t>Directors</w:t>
      </w:r>
      <w:proofErr w:type="spellEnd"/>
      <w:r w:rsidRPr="00931C42">
        <w:rPr>
          <w:rFonts w:ascii="Times New Roman" w:hAnsi="Times New Roman" w:cs="Times New Roman"/>
          <w:sz w:val="24"/>
          <w:szCs w:val="24"/>
        </w:rPr>
        <w:t xml:space="preserve"> and </w:t>
      </w:r>
      <w:proofErr w:type="spellStart"/>
      <w:r w:rsidRPr="00931C42">
        <w:rPr>
          <w:rFonts w:ascii="Times New Roman" w:hAnsi="Times New Roman" w:cs="Times New Roman"/>
          <w:sz w:val="24"/>
          <w:szCs w:val="24"/>
        </w:rPr>
        <w:t>Experts</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of</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Better</w:t>
      </w:r>
      <w:proofErr w:type="spellEnd"/>
      <w:r w:rsidRPr="00931C42">
        <w:rPr>
          <w:rFonts w:ascii="Times New Roman" w:hAnsi="Times New Roman" w:cs="Times New Roman"/>
          <w:sz w:val="24"/>
          <w:szCs w:val="24"/>
        </w:rPr>
        <w:t xml:space="preserve"> </w:t>
      </w:r>
      <w:proofErr w:type="spellStart"/>
      <w:r w:rsidRPr="00931C42">
        <w:rPr>
          <w:rFonts w:ascii="Times New Roman" w:hAnsi="Times New Roman" w:cs="Times New Roman"/>
          <w:sz w:val="24"/>
          <w:szCs w:val="24"/>
        </w:rPr>
        <w:t>Regulation</w:t>
      </w:r>
      <w:proofErr w:type="spellEnd"/>
      <w:r w:rsidRPr="00931C42">
        <w:rPr>
          <w:rFonts w:ascii="Times New Roman" w:hAnsi="Times New Roman" w:cs="Times New Roman"/>
          <w:sz w:val="24"/>
          <w:szCs w:val="24"/>
        </w:rPr>
        <w:t>) v dňoch 14. – 15. 06. 2016 v Bratislave a pracovnej skupiny pre lepšiu regulácie Rady pre konkurencieschopnosť. V záujme konkurencieschopnosti ekonomík by  regulácie nemali byť prekážkou inovácií, naopak, mali by byť ich katalyzátorom.</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 xml:space="preserve">Na pracovnej skupine bol taktiež diskutovaný pracovný program Európskej komisie na rok 2017 a uplatňovanie aktuálnych nástrojov programu regulačnej vhodnosti - REFIT. </w:t>
      </w: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Začiatkom roka 201</w:t>
      </w:r>
      <w:r w:rsidR="002B2527">
        <w:rPr>
          <w:rFonts w:ascii="Times New Roman" w:hAnsi="Times New Roman" w:cs="Times New Roman"/>
          <w:sz w:val="24"/>
          <w:szCs w:val="24"/>
        </w:rPr>
        <w:t>6</w:t>
      </w:r>
      <w:bookmarkStart w:id="1" w:name="_GoBack"/>
      <w:bookmarkEnd w:id="1"/>
      <w:r w:rsidRPr="00931C42">
        <w:rPr>
          <w:rFonts w:ascii="Times New Roman" w:hAnsi="Times New Roman" w:cs="Times New Roman"/>
          <w:sz w:val="24"/>
          <w:szCs w:val="24"/>
        </w:rPr>
        <w:t xml:space="preserve"> vznikla na pôde Európskej komisie expertná skupina REFIT Platforma, v rámci ktorej Slovensko zastupuje MH SR. Platforma je zameraná na identifikovanie potenciálnych bariér európskej legislatívy.</w:t>
      </w:r>
    </w:p>
    <w:p w:rsidR="00931C42" w:rsidRPr="00931C42" w:rsidRDefault="00931C42" w:rsidP="00931C42">
      <w:pPr>
        <w:spacing w:after="0" w:line="240" w:lineRule="auto"/>
        <w:jc w:val="both"/>
        <w:rPr>
          <w:rFonts w:ascii="Times New Roman" w:hAnsi="Times New Roman" w:cs="Times New Roman"/>
          <w:sz w:val="24"/>
          <w:szCs w:val="24"/>
        </w:rPr>
      </w:pPr>
    </w:p>
    <w:p w:rsidR="00931C42" w:rsidRPr="00931C42" w:rsidRDefault="00E772E0" w:rsidP="00931C42">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00931C42" w:rsidRPr="00931C42">
        <w:rPr>
          <w:rFonts w:ascii="Times New Roman" w:hAnsi="Times New Roman" w:cs="Times New Roman"/>
          <w:b/>
          <w:sz w:val="24"/>
          <w:szCs w:val="24"/>
        </w:rPr>
        <w:t>.6.</w:t>
      </w:r>
      <w:r w:rsidR="00931C42" w:rsidRPr="00931C42">
        <w:rPr>
          <w:rFonts w:ascii="Times New Roman" w:hAnsi="Times New Roman" w:cs="Times New Roman"/>
          <w:b/>
          <w:sz w:val="24"/>
          <w:szCs w:val="24"/>
        </w:rPr>
        <w:tab/>
        <w:t>Výzvy v agende lepšej regulácie</w:t>
      </w:r>
    </w:p>
    <w:p w:rsidR="00931C42" w:rsidRPr="00931C42" w:rsidRDefault="00931C42" w:rsidP="00931C42">
      <w:pPr>
        <w:spacing w:after="0" w:line="240" w:lineRule="auto"/>
        <w:rPr>
          <w:rFonts w:ascii="Times New Roman" w:hAnsi="Times New Roman" w:cs="Times New Roman"/>
          <w:b/>
          <w:sz w:val="24"/>
          <w:szCs w:val="24"/>
        </w:rPr>
      </w:pPr>
    </w:p>
    <w:p w:rsidR="00931C42" w:rsidRPr="00931C42" w:rsidRDefault="00931C42" w:rsidP="00931C42">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Lepšia regulácia má potenciál zlepšiť nielen podnikateľské prostredie, ale aj kvalitu života všetkých občanov v SR. MH SR sa plánuje naďalej intenzívne venovať agende lepšej regulácie a v rámci svojich kompetencií bude venovať osobitnú pozornosť podnikateľskému prostrediu. V súlade s </w:t>
      </w:r>
      <w:r w:rsidR="0046533A">
        <w:rPr>
          <w:rFonts w:ascii="Times New Roman" w:hAnsi="Times New Roman" w:cs="Times New Roman"/>
          <w:sz w:val="24"/>
          <w:szCs w:val="24"/>
        </w:rPr>
        <w:t>p</w:t>
      </w:r>
      <w:r w:rsidRPr="00931C42">
        <w:rPr>
          <w:rFonts w:ascii="Times New Roman" w:hAnsi="Times New Roman" w:cs="Times New Roman"/>
          <w:sz w:val="24"/>
          <w:szCs w:val="24"/>
        </w:rPr>
        <w:t xml:space="preserve">rogramovým vyhlásením vlády SR predloží </w:t>
      </w:r>
      <w:r w:rsidR="0046533A">
        <w:rPr>
          <w:rFonts w:ascii="Times New Roman" w:hAnsi="Times New Roman" w:cs="Times New Roman"/>
          <w:sz w:val="24"/>
          <w:szCs w:val="24"/>
        </w:rPr>
        <w:t xml:space="preserve">MH SR </w:t>
      </w:r>
      <w:r w:rsidRPr="00931C42">
        <w:rPr>
          <w:rFonts w:ascii="Times New Roman" w:hAnsi="Times New Roman" w:cs="Times New Roman"/>
          <w:sz w:val="24"/>
          <w:szCs w:val="24"/>
        </w:rPr>
        <w:t xml:space="preserve">v roku 2017 koncepciu lepšej regulácie s pracovným názvom „RIA 2020“. Jej obsahom bude predstavenie </w:t>
      </w:r>
      <w:r w:rsidRPr="00931C42">
        <w:rPr>
          <w:rFonts w:ascii="Times New Roman" w:hAnsi="Times New Roman" w:cs="Times New Roman"/>
          <w:sz w:val="24"/>
          <w:szCs w:val="24"/>
        </w:rPr>
        <w:lastRenderedPageBreak/>
        <w:t xml:space="preserve">vízie lepšej regulácie v SR v období do roku 2020 z hľadiska cieľov a želaného výsledku. Na túto koncepciu budú nadväzovať konkrétne metodiky a nástroje, ktorých konečným účelom bude prehľadnejšie a transparentnejšie regulačné prostredie. </w:t>
      </w:r>
    </w:p>
    <w:p w:rsidR="00931C42" w:rsidRPr="00931C42" w:rsidRDefault="00931C42" w:rsidP="00931C42">
      <w:pPr>
        <w:spacing w:after="0" w:line="240" w:lineRule="auto"/>
        <w:jc w:val="both"/>
        <w:rPr>
          <w:rFonts w:ascii="Times New Roman" w:hAnsi="Times New Roman"/>
          <w:b/>
          <w:sz w:val="24"/>
        </w:rPr>
      </w:pPr>
    </w:p>
    <w:p w:rsidR="00931C42" w:rsidRDefault="00931C42" w:rsidP="00931C42">
      <w:pPr>
        <w:spacing w:after="0" w:line="240" w:lineRule="auto"/>
        <w:jc w:val="both"/>
        <w:rPr>
          <w:rFonts w:ascii="Times New Roman" w:hAnsi="Times New Roman"/>
          <w:b/>
          <w:sz w:val="24"/>
        </w:rPr>
      </w:pPr>
    </w:p>
    <w:p w:rsidR="00B40111" w:rsidRPr="001C52C2" w:rsidRDefault="00E772E0" w:rsidP="00B40111">
      <w:pPr>
        <w:keepNext/>
        <w:spacing w:after="0" w:line="240" w:lineRule="auto"/>
        <w:outlineLvl w:val="2"/>
        <w:rPr>
          <w:rFonts w:ascii="Times New Roman" w:eastAsia="Times New Roman" w:hAnsi="Times New Roman" w:cs="Arial"/>
          <w:b/>
          <w:bCs/>
          <w:iCs/>
          <w:color w:val="3C8A2E"/>
          <w:kern w:val="32"/>
          <w:sz w:val="28"/>
          <w:szCs w:val="28"/>
          <w:lang w:val="en-US"/>
        </w:rPr>
      </w:pPr>
      <w:r w:rsidRPr="001C52C2">
        <w:rPr>
          <w:rFonts w:ascii="Times New Roman" w:eastAsia="Times New Roman" w:hAnsi="Times New Roman" w:cs="Times New Roman"/>
          <w:b/>
          <w:bCs/>
          <w:iCs/>
          <w:kern w:val="32"/>
          <w:sz w:val="28"/>
          <w:szCs w:val="28"/>
        </w:rPr>
        <w:t>8</w:t>
      </w:r>
      <w:r w:rsidR="00B40111" w:rsidRPr="001C52C2">
        <w:rPr>
          <w:rFonts w:ascii="Times New Roman" w:eastAsia="Times New Roman" w:hAnsi="Times New Roman" w:cs="Times New Roman"/>
          <w:b/>
          <w:bCs/>
          <w:iCs/>
          <w:kern w:val="32"/>
          <w:sz w:val="28"/>
          <w:szCs w:val="28"/>
        </w:rPr>
        <w:t>. Správa o stav</w:t>
      </w:r>
      <w:r w:rsidR="00CF51F8">
        <w:rPr>
          <w:rFonts w:ascii="Times New Roman" w:eastAsia="Times New Roman" w:hAnsi="Times New Roman" w:cs="Times New Roman"/>
          <w:b/>
          <w:bCs/>
          <w:iCs/>
          <w:kern w:val="32"/>
          <w:sz w:val="28"/>
          <w:szCs w:val="28"/>
        </w:rPr>
        <w:t xml:space="preserve">e malého a stredného podnikania </w:t>
      </w:r>
      <w:r w:rsidR="00B40111" w:rsidRPr="001C52C2">
        <w:rPr>
          <w:rFonts w:ascii="Times New Roman" w:eastAsia="Times New Roman" w:hAnsi="Times New Roman" w:cs="Times New Roman"/>
          <w:b/>
          <w:bCs/>
          <w:iCs/>
          <w:kern w:val="32"/>
          <w:sz w:val="28"/>
          <w:szCs w:val="28"/>
        </w:rPr>
        <w:t xml:space="preserve">za rok 2015 </w:t>
      </w:r>
      <w:r w:rsidR="001C52C2" w:rsidRPr="001C52C2">
        <w:rPr>
          <w:rFonts w:ascii="Times New Roman" w:eastAsia="Times New Roman" w:hAnsi="Times New Roman" w:cs="Times New Roman"/>
          <w:b/>
          <w:bCs/>
          <w:iCs/>
          <w:kern w:val="32"/>
          <w:sz w:val="28"/>
          <w:szCs w:val="28"/>
        </w:rPr>
        <w:t>-</w:t>
      </w:r>
      <w:r w:rsidR="00B40111" w:rsidRPr="001C52C2">
        <w:rPr>
          <w:rFonts w:ascii="Times New Roman" w:eastAsia="Times New Roman" w:hAnsi="Times New Roman" w:cs="Times New Roman"/>
          <w:b/>
          <w:bCs/>
          <w:iCs/>
          <w:kern w:val="32"/>
          <w:sz w:val="28"/>
          <w:szCs w:val="28"/>
          <w:lang w:val="en-US"/>
        </w:rPr>
        <w:t xml:space="preserve"> </w:t>
      </w:r>
      <w:r w:rsidR="001C52C2">
        <w:rPr>
          <w:rFonts w:ascii="Times New Roman" w:eastAsia="Times New Roman" w:hAnsi="Times New Roman" w:cs="Times New Roman"/>
          <w:b/>
          <w:bCs/>
          <w:iCs/>
          <w:kern w:val="32"/>
          <w:sz w:val="28"/>
          <w:szCs w:val="28"/>
        </w:rPr>
        <w:t>zhrnutie</w:t>
      </w:r>
    </w:p>
    <w:p w:rsidR="00B40111" w:rsidRPr="00B40111" w:rsidRDefault="00B40111" w:rsidP="00B40111">
      <w:pPr>
        <w:spacing w:after="0" w:line="240" w:lineRule="auto"/>
        <w:ind w:right="55"/>
        <w:rPr>
          <w:rFonts w:ascii="Times New Roman" w:eastAsia="Times New Roman" w:hAnsi="Times New Roman" w:cs="Times New Roman"/>
          <w:color w:val="000000"/>
          <w:sz w:val="24"/>
          <w:szCs w:val="24"/>
        </w:rPr>
      </w:pPr>
    </w:p>
    <w:p w:rsidR="00B40111" w:rsidRPr="00B40111" w:rsidRDefault="00B40111" w:rsidP="00B40111">
      <w:pPr>
        <w:autoSpaceDE w:val="0"/>
        <w:autoSpaceDN w:val="0"/>
        <w:adjustRightInd w:val="0"/>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Malé a stredné podniky (ďalej len „MSP“) sú dôležitou zložkou slovenskej ekonomiky. V roku 2015 tvorili 99,9 % podiel z celkového počtu podnikateľských subjektov, poskytovali pracovné príležitosti takmer trom štvrtinám (73,6 %) aktívnej pracovnej sily v podnikovej ekonomike a podieľali sa viac ako polovicou (52,8 %) na tvorbe pridanej hodnoty. V roku 2015 sa sektor MSP vyvíjal v podmienkach rastúcej výkonnosti slovenského hospodárstva. Pozitívny vývoj zaznamenali takmer všetky hlavné ukazovatele charakterizujúce vývoj MSP. Oproti roku 2014 sa v sektore MSP zvýšila zamestnanosť (o 0,7 %), pridaná hodnota (o 4,4 %), vytvorený zisk (o 8,8 %), nárast zaznamenal aj vývoz tovarov (o 5,7 %).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Podľa údajov ŠÚ SR bolo v roku 2015 na Slovensku evidovaných 531 729 aktívnych podnikateľských subjektov, z toho 531 063 </w:t>
      </w:r>
      <w:r w:rsidR="002C3B84">
        <w:rPr>
          <w:rFonts w:ascii="Times New Roman" w:eastAsia="Times New Roman" w:hAnsi="Times New Roman" w:cs="Times New Roman"/>
          <w:sz w:val="24"/>
          <w:szCs w:val="24"/>
        </w:rPr>
        <w:t>MSP</w:t>
      </w:r>
      <w:r w:rsidRPr="00B40111">
        <w:rPr>
          <w:rFonts w:ascii="Times New Roman" w:eastAsia="Times New Roman" w:hAnsi="Times New Roman" w:cs="Times New Roman"/>
          <w:sz w:val="24"/>
          <w:szCs w:val="24"/>
        </w:rPr>
        <w:t>. V medziročnom porovnaní sa celkový počet aktívnych MSP znížil o 6,0 %, čo však môže byť do veľkej miery spôsobené vplyvom zavedenia novej metodiky ŠÚ SR pre stanovenie aktivity subjektu</w:t>
      </w:r>
      <w:r w:rsidRPr="00B40111">
        <w:rPr>
          <w:rFonts w:ascii="Times New Roman" w:eastAsia="Times New Roman" w:hAnsi="Times New Roman" w:cs="Times New Roman"/>
          <w:sz w:val="24"/>
          <w:szCs w:val="24"/>
          <w:vertAlign w:val="superscript"/>
        </w:rPr>
        <w:footnoteReference w:id="1"/>
      </w:r>
      <w:r w:rsidRPr="00B40111">
        <w:rPr>
          <w:rFonts w:ascii="Times New Roman" w:eastAsia="Times New Roman" w:hAnsi="Times New Roman" w:cs="Times New Roman"/>
          <w:sz w:val="24"/>
          <w:szCs w:val="24"/>
        </w:rPr>
        <w:t xml:space="preserve">. Z celkového počtu podnikov bolo 96,9 % </w:t>
      </w:r>
      <w:proofErr w:type="spellStart"/>
      <w:r w:rsidRPr="00B40111">
        <w:rPr>
          <w:rFonts w:ascii="Times New Roman" w:eastAsia="Times New Roman" w:hAnsi="Times New Roman" w:cs="Times New Roman"/>
          <w:sz w:val="24"/>
          <w:szCs w:val="24"/>
        </w:rPr>
        <w:t>mikropodnikov</w:t>
      </w:r>
      <w:proofErr w:type="spellEnd"/>
      <w:r w:rsidRPr="00B40111">
        <w:rPr>
          <w:rFonts w:ascii="Times New Roman" w:eastAsia="Times New Roman" w:hAnsi="Times New Roman" w:cs="Times New Roman"/>
          <w:sz w:val="24"/>
          <w:szCs w:val="24"/>
        </w:rPr>
        <w:t xml:space="preserve"> (515 236), 2,4 % (12 984) malých podnikov a 0,5 % (2 843) stredných podnikov. V krajine pôsobilo 666 veľkých podnikov, ktoré tvorili podiel 0,1 %.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Konsolidáciu sektora potvrdzuje celková početnosť MSP, ktorá v porovnaní s predkrízovým rokom 2008 predstavovala nárast iba 3,7 %, v prípade </w:t>
      </w:r>
      <w:proofErr w:type="spellStart"/>
      <w:r w:rsidRPr="00B40111">
        <w:rPr>
          <w:rFonts w:ascii="Times New Roman" w:eastAsia="Times New Roman" w:hAnsi="Times New Roman" w:cs="Times New Roman"/>
          <w:sz w:val="24"/>
          <w:szCs w:val="24"/>
        </w:rPr>
        <w:t>mikropodnikov</w:t>
      </w:r>
      <w:proofErr w:type="spellEnd"/>
      <w:r w:rsidRPr="00B40111">
        <w:rPr>
          <w:rFonts w:ascii="Times New Roman" w:eastAsia="Times New Roman" w:hAnsi="Times New Roman" w:cs="Times New Roman"/>
          <w:sz w:val="24"/>
          <w:szCs w:val="24"/>
        </w:rPr>
        <w:t xml:space="preserve"> bol nárast 7,4 %, počet stredných podnikov dosiahol 92 % ich počtu v roku 2008. Naďalej sa však nedarí eliminovať prepad v kategórii malých podnikov, ktorej početnosť sa po roku 2008 znížila o viac ako 50 % a aj v roku 2015 dosahoval ich počet len 44 % úrovne roka 2008. Potvrdzuje to trend stratifikácie v rámci MSP. Ďalším prebiehajúcim trendom je znižovanie počtu vzniknutých podnikov, v roku 2015 bolo zaregistrovaných 45 657 nových podnikov, čo predstavuje medziročný pokles o 21 %. Znižovanie počtu novovzniknutých podnikov sa prejavilo aj na znižovaní rozsahu využívania služieb jednotných kontaktných miest, ktoré zaznamenali medziročný pokles počtu klientov z prostredia podnikateľov o 4 %.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Vhodným nástrojom na hodnotenie podnikateľského prostredia z pohľadu MSP je Európska iniciatíva Zákon o malých podnikoch – </w:t>
      </w:r>
      <w:proofErr w:type="spellStart"/>
      <w:r w:rsidRPr="00B40111">
        <w:rPr>
          <w:rFonts w:ascii="Times New Roman" w:eastAsia="Times New Roman" w:hAnsi="Times New Roman" w:cs="Times New Roman"/>
          <w:sz w:val="24"/>
          <w:szCs w:val="24"/>
        </w:rPr>
        <w:t>Small</w:t>
      </w:r>
      <w:proofErr w:type="spellEnd"/>
      <w:r w:rsidRPr="00B40111">
        <w:rPr>
          <w:rFonts w:ascii="Times New Roman" w:eastAsia="Times New Roman" w:hAnsi="Times New Roman" w:cs="Times New Roman"/>
          <w:sz w:val="24"/>
          <w:szCs w:val="24"/>
        </w:rPr>
        <w:t xml:space="preserve"> </w:t>
      </w:r>
      <w:proofErr w:type="spellStart"/>
      <w:r w:rsidRPr="00B40111">
        <w:rPr>
          <w:rFonts w:ascii="Times New Roman" w:eastAsia="Times New Roman" w:hAnsi="Times New Roman" w:cs="Times New Roman"/>
          <w:sz w:val="24"/>
          <w:szCs w:val="24"/>
        </w:rPr>
        <w:t>Business</w:t>
      </w:r>
      <w:proofErr w:type="spellEnd"/>
      <w:r w:rsidRPr="00B40111">
        <w:rPr>
          <w:rFonts w:ascii="Times New Roman" w:eastAsia="Times New Roman" w:hAnsi="Times New Roman" w:cs="Times New Roman"/>
          <w:sz w:val="24"/>
          <w:szCs w:val="24"/>
        </w:rPr>
        <w:t xml:space="preserve"> </w:t>
      </w:r>
      <w:proofErr w:type="spellStart"/>
      <w:r w:rsidRPr="00B40111">
        <w:rPr>
          <w:rFonts w:ascii="Times New Roman" w:eastAsia="Times New Roman" w:hAnsi="Times New Roman" w:cs="Times New Roman"/>
          <w:sz w:val="24"/>
          <w:szCs w:val="24"/>
        </w:rPr>
        <w:t>Act</w:t>
      </w:r>
      <w:proofErr w:type="spellEnd"/>
      <w:r w:rsidRPr="00B40111">
        <w:rPr>
          <w:rFonts w:ascii="Times New Roman" w:eastAsia="Times New Roman" w:hAnsi="Times New Roman" w:cs="Times New Roman"/>
          <w:sz w:val="24"/>
          <w:szCs w:val="24"/>
        </w:rPr>
        <w:t xml:space="preserve"> (ďalej len „SBA“) implementovaná od roku 2008. </w:t>
      </w:r>
      <w:r>
        <w:rPr>
          <w:rFonts w:ascii="Times New Roman" w:eastAsia="Times New Roman" w:hAnsi="Times New Roman" w:cs="Times New Roman"/>
          <w:sz w:val="24"/>
          <w:szCs w:val="24"/>
        </w:rPr>
        <w:t>Jej c</w:t>
      </w:r>
      <w:r w:rsidRPr="00B40111">
        <w:rPr>
          <w:rFonts w:ascii="Times New Roman" w:eastAsia="Times New Roman" w:hAnsi="Times New Roman" w:cs="Times New Roman"/>
          <w:sz w:val="24"/>
          <w:szCs w:val="24"/>
        </w:rPr>
        <w:t>ieľom je zabezpečiť, aby MSP v EÚ dosahovali rast tržieb a</w:t>
      </w:r>
      <w:r>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konkurencieschopnosti a dokázali sa úspešne presadiť na globálnom trhu. Európska komisia vykonáva každoročné hodnotenie uplatňovania princípov SBA v rámci členských krajín prostredníctvom spracovania tzv. profilov krajín.</w:t>
      </w:r>
    </w:p>
    <w:p w:rsidR="00E772E0" w:rsidRDefault="00E772E0" w:rsidP="00B40111">
      <w:pPr>
        <w:spacing w:after="0" w:line="240" w:lineRule="auto"/>
        <w:jc w:val="both"/>
        <w:rPr>
          <w:rFonts w:ascii="Times New Roman" w:eastAsia="Times New Roman" w:hAnsi="Times New Roman" w:cs="Times New Roman"/>
          <w:sz w:val="24"/>
          <w:szCs w:val="24"/>
        </w:rPr>
      </w:pPr>
    </w:p>
    <w:p w:rsidR="007A3141" w:rsidRDefault="00B40111" w:rsidP="00804E7E">
      <w:pPr>
        <w:spacing w:after="0" w:line="240" w:lineRule="auto"/>
        <w:rPr>
          <w:rFonts w:ascii="Times New Roman" w:eastAsia="Times New Roman" w:hAnsi="Times New Roman" w:cs="Times New Roman"/>
          <w:sz w:val="20"/>
          <w:szCs w:val="20"/>
        </w:rPr>
      </w:pPr>
      <w:r w:rsidRPr="00B40111">
        <w:rPr>
          <w:rFonts w:ascii="Times New Roman" w:eastAsia="Times New Roman" w:hAnsi="Times New Roman" w:cs="Times New Roman"/>
          <w:b/>
          <w:sz w:val="24"/>
          <w:szCs w:val="24"/>
        </w:rPr>
        <w:lastRenderedPageBreak/>
        <w:t>Graf 8.1 Profil hodnotenia princípov SBA na Slovensku v</w:t>
      </w:r>
      <w:r w:rsidR="002C3B84">
        <w:rPr>
          <w:rFonts w:ascii="Times New Roman" w:eastAsia="Times New Roman" w:hAnsi="Times New Roman" w:cs="Times New Roman"/>
          <w:b/>
          <w:sz w:val="24"/>
          <w:szCs w:val="24"/>
        </w:rPr>
        <w:t> </w:t>
      </w:r>
      <w:r w:rsidRPr="00B40111">
        <w:rPr>
          <w:rFonts w:ascii="Times New Roman" w:eastAsia="Times New Roman" w:hAnsi="Times New Roman" w:cs="Times New Roman"/>
          <w:b/>
          <w:sz w:val="24"/>
          <w:szCs w:val="24"/>
        </w:rPr>
        <w:t>roku</w:t>
      </w:r>
      <w:r w:rsidR="002C3B84">
        <w:rPr>
          <w:rFonts w:ascii="Times New Roman" w:eastAsia="Times New Roman" w:hAnsi="Times New Roman" w:cs="Times New Roman"/>
          <w:b/>
          <w:sz w:val="24"/>
          <w:szCs w:val="24"/>
        </w:rPr>
        <w:t xml:space="preserve"> </w:t>
      </w:r>
      <w:r w:rsidRPr="00B40111">
        <w:rPr>
          <w:rFonts w:ascii="Times New Roman" w:eastAsia="Times New Roman" w:hAnsi="Times New Roman" w:cs="Times New Roman"/>
          <w:b/>
          <w:sz w:val="24"/>
          <w:szCs w:val="24"/>
        </w:rPr>
        <w:t>2015</w:t>
      </w:r>
      <w:r w:rsidR="00947799">
        <w:rPr>
          <w:noProof/>
          <w:lang w:eastAsia="sk-SK"/>
        </w:rPr>
        <w:drawing>
          <wp:inline distT="0" distB="0" distL="0" distR="0" wp14:anchorId="5F7E3AD2" wp14:editId="08A38447">
            <wp:extent cx="4523810" cy="2904762"/>
            <wp:effectExtent l="0" t="0" r="0" b="0"/>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523810" cy="2904762"/>
                    </a:xfrm>
                    <a:prstGeom prst="rect">
                      <a:avLst/>
                    </a:prstGeom>
                  </pic:spPr>
                </pic:pic>
              </a:graphicData>
            </a:graphic>
          </wp:inline>
        </w:drawing>
      </w:r>
    </w:p>
    <w:p w:rsidR="00B40111" w:rsidRPr="00B40111" w:rsidRDefault="00B40111" w:rsidP="007A3141">
      <w:pPr>
        <w:spacing w:after="120" w:line="240" w:lineRule="auto"/>
        <w:jc w:val="both"/>
        <w:rPr>
          <w:rFonts w:ascii="Times New Roman" w:eastAsia="Times New Roman" w:hAnsi="Times New Roman" w:cs="Times New Roman"/>
          <w:sz w:val="20"/>
          <w:szCs w:val="20"/>
        </w:rPr>
      </w:pPr>
      <w:r w:rsidRPr="00B40111">
        <w:rPr>
          <w:rFonts w:ascii="Times New Roman" w:eastAsia="Times New Roman" w:hAnsi="Times New Roman" w:cs="Times New Roman"/>
          <w:sz w:val="20"/>
          <w:szCs w:val="20"/>
        </w:rPr>
        <w:t xml:space="preserve">Zdroj: Európska Komisia/SBA </w:t>
      </w:r>
      <w:proofErr w:type="spellStart"/>
      <w:r w:rsidRPr="00B40111">
        <w:rPr>
          <w:rFonts w:ascii="Times New Roman" w:eastAsia="Times New Roman" w:hAnsi="Times New Roman" w:cs="Times New Roman"/>
          <w:sz w:val="20"/>
          <w:szCs w:val="20"/>
        </w:rPr>
        <w:t>Factsheet</w:t>
      </w:r>
      <w:proofErr w:type="spellEnd"/>
    </w:p>
    <w:p w:rsidR="00B40111" w:rsidRPr="00B40111" w:rsidRDefault="00B40111" w:rsidP="00B40111">
      <w:pPr>
        <w:spacing w:after="0" w:line="240" w:lineRule="auto"/>
        <w:rPr>
          <w:rFonts w:ascii="Times New Roman" w:eastAsia="Times New Roman" w:hAnsi="Times New Roman" w:cs="Times New Roman"/>
          <w:sz w:val="24"/>
          <w:szCs w:val="24"/>
        </w:rPr>
      </w:pP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Na základe profilu SBA spracovaného pre rok 2015 hodnotila Európska komisia na Slovensku ako silné stránky uplatňovanie princípov 6 (prístup k financovaniu) a 9 (životné prostredie). Najvýznamnejšie nedostatky boli zistené v uplatňovaní princípu 2 (druhá šanca), princípu 10 (internacionalizácia) a princípu 4 (ústretová správa). V prípade ostatných princípov sa Slovensko zaradilo medzi priemer EÚ. V porovnaní s minulým rokom došlo k zlepšeniu v oblasti prístupu k financovaniu (princíp 6), v oblasti internacionalizácie podnikania (princíp 10), napriek tomu je to naďalej jeden z najhoršie hodnotených princípov, a čiastočne aj v oblasti prístupu k podnikaniu (princíp 1). Naopak zhoršenie hodnotenia bolo zaznamenané v oblasti zručností a inovácií (princíp 8) a v oblasti ústretová správa (princíp 4).</w:t>
      </w:r>
      <w:r w:rsidR="00313C0E">
        <w:rPr>
          <w:rFonts w:ascii="Times New Roman" w:eastAsia="Times New Roman" w:hAnsi="Times New Roman" w:cs="Times New Roman"/>
          <w:sz w:val="24"/>
          <w:szCs w:val="24"/>
        </w:rPr>
        <w:t xml:space="preserve"> </w:t>
      </w:r>
      <w:r w:rsidRPr="00B40111">
        <w:rPr>
          <w:rFonts w:ascii="Times New Roman" w:eastAsia="Times New Roman" w:hAnsi="Times New Roman" w:cs="Times New Roman"/>
          <w:sz w:val="24"/>
          <w:szCs w:val="24"/>
        </w:rPr>
        <w:t>Hodnotenie situácie na Slovensku vo vzťahu k jednotlivým princípom je nasledovné:</w:t>
      </w:r>
    </w:p>
    <w:p w:rsidR="00B40111" w:rsidRPr="00B40111" w:rsidRDefault="00B40111" w:rsidP="00B40111">
      <w:pPr>
        <w:spacing w:after="0" w:line="240" w:lineRule="auto"/>
        <w:jc w:val="both"/>
        <w:rPr>
          <w:rFonts w:ascii="Times New Roman" w:eastAsia="Times New Roman" w:hAnsi="Times New Roman" w:cs="Times New Roman"/>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1 Prístup k podnikaniu</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V júni 2015 schválila vláda SR Koncepciu pre podporu </w:t>
      </w:r>
      <w:proofErr w:type="spellStart"/>
      <w:r w:rsidRPr="00B40111">
        <w:rPr>
          <w:rFonts w:ascii="Times New Roman" w:eastAsia="Times New Roman" w:hAnsi="Times New Roman" w:cs="Times New Roman"/>
          <w:sz w:val="24"/>
          <w:szCs w:val="24"/>
        </w:rPr>
        <w:t>startupov</w:t>
      </w:r>
      <w:proofErr w:type="spellEnd"/>
      <w:r w:rsidRPr="00B40111">
        <w:rPr>
          <w:rFonts w:ascii="Times New Roman" w:eastAsia="Times New Roman" w:hAnsi="Times New Roman" w:cs="Times New Roman"/>
          <w:sz w:val="24"/>
          <w:szCs w:val="24"/>
        </w:rPr>
        <w:t xml:space="preserve"> a rozvoj </w:t>
      </w:r>
      <w:proofErr w:type="spellStart"/>
      <w:r w:rsidRPr="00B40111">
        <w:rPr>
          <w:rFonts w:ascii="Times New Roman" w:eastAsia="Times New Roman" w:hAnsi="Times New Roman" w:cs="Times New Roman"/>
          <w:sz w:val="24"/>
          <w:szCs w:val="24"/>
        </w:rPr>
        <w:t>startupového</w:t>
      </w:r>
      <w:proofErr w:type="spellEnd"/>
      <w:r w:rsidRPr="00B40111">
        <w:rPr>
          <w:rFonts w:ascii="Times New Roman" w:eastAsia="Times New Roman" w:hAnsi="Times New Roman" w:cs="Times New Roman"/>
          <w:sz w:val="24"/>
          <w:szCs w:val="24"/>
        </w:rPr>
        <w:t xml:space="preserve"> ekosystému v SR, v zmysle ktorej sú </w:t>
      </w:r>
      <w:proofErr w:type="spellStart"/>
      <w:r w:rsidRPr="00B40111">
        <w:rPr>
          <w:rFonts w:ascii="Times New Roman" w:eastAsia="Times New Roman" w:hAnsi="Times New Roman" w:cs="Times New Roman"/>
          <w:sz w:val="24"/>
          <w:szCs w:val="24"/>
        </w:rPr>
        <w:t>startupy</w:t>
      </w:r>
      <w:proofErr w:type="spellEnd"/>
      <w:r w:rsidRPr="00B40111">
        <w:rPr>
          <w:rFonts w:ascii="Times New Roman" w:eastAsia="Times New Roman" w:hAnsi="Times New Roman" w:cs="Times New Roman"/>
          <w:sz w:val="24"/>
          <w:szCs w:val="24"/>
        </w:rPr>
        <w:t>, ako začínajúce podniky, zdrojom inovatívnych riešení s významným rastovým potenciálom. Snahou tejto koncepcie je podporiť </w:t>
      </w:r>
      <w:proofErr w:type="spellStart"/>
      <w:r w:rsidRPr="00B40111">
        <w:rPr>
          <w:rFonts w:ascii="Times New Roman" w:eastAsia="Times New Roman" w:hAnsi="Times New Roman" w:cs="Times New Roman"/>
          <w:sz w:val="24"/>
          <w:szCs w:val="24"/>
        </w:rPr>
        <w:t>startupový</w:t>
      </w:r>
      <w:proofErr w:type="spellEnd"/>
      <w:r w:rsidRPr="00B40111">
        <w:rPr>
          <w:rFonts w:ascii="Times New Roman" w:eastAsia="Times New Roman" w:hAnsi="Times New Roman" w:cs="Times New Roman"/>
          <w:sz w:val="24"/>
          <w:szCs w:val="24"/>
        </w:rPr>
        <w:t xml:space="preserve"> ekosystém v SR vytvorením podnikateľského prostredia a systému štátnej podpory, ktoré by dokázali aktivovať slovenské subjekty a jednotlivcov s unikátnymi myšlienkami, prilákať zahraničné subjekty s inovatívnymi nápadmi, zatraktívniť investovanie do </w:t>
      </w:r>
      <w:proofErr w:type="spellStart"/>
      <w:r w:rsidRPr="00B40111">
        <w:rPr>
          <w:rFonts w:ascii="Times New Roman" w:eastAsia="Times New Roman" w:hAnsi="Times New Roman" w:cs="Times New Roman"/>
          <w:sz w:val="24"/>
          <w:szCs w:val="24"/>
        </w:rPr>
        <w:t>startupov</w:t>
      </w:r>
      <w:proofErr w:type="spellEnd"/>
      <w:r w:rsidRPr="00B40111">
        <w:rPr>
          <w:rFonts w:ascii="Times New Roman" w:eastAsia="Times New Roman" w:hAnsi="Times New Roman" w:cs="Times New Roman"/>
          <w:sz w:val="24"/>
          <w:szCs w:val="24"/>
        </w:rPr>
        <w:t xml:space="preserve"> a vytvoriť výnimočný imidž krajiny. Koncepcia obsahuje 17 opatrení v rámci 3</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strategických cieľov naplánovaných na roky 2015 a 2016.</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V rámci podporných opatrení bol najvýznamnejšou iniciatívou projekt prípravy Národného podnikateľského centra, ktorý prebiehal v rokoch 2014 a 2015. Cieľom projektu bolo vytvorenie komplexného centra podporných služieb pre podnikateľov na jednom mieste (</w:t>
      </w:r>
      <w:proofErr w:type="spellStart"/>
      <w:r w:rsidRPr="00B40111">
        <w:rPr>
          <w:rFonts w:ascii="Times New Roman" w:eastAsia="Times New Roman" w:hAnsi="Times New Roman" w:cs="Times New Roman"/>
          <w:sz w:val="24"/>
          <w:szCs w:val="24"/>
        </w:rPr>
        <w:t>one-stop-shop</w:t>
      </w:r>
      <w:proofErr w:type="spellEnd"/>
      <w:r w:rsidRPr="00B40111">
        <w:rPr>
          <w:rFonts w:ascii="Times New Roman" w:eastAsia="Times New Roman" w:hAnsi="Times New Roman" w:cs="Times New Roman"/>
          <w:sz w:val="24"/>
          <w:szCs w:val="24"/>
        </w:rPr>
        <w:t>), ktoré vytvorí podmienky pre uplatnenie nielen mladých ľudí, absolventov, ale aj zamestnancov a seniorov zamýšľajúcich sa nad vstupom do podnikania, ako aj poradenstvo a podporu pre etablovaných podnikateľov. Služby centra budú prístupné aj pre podnikateľov z</w:t>
      </w:r>
      <w:r w:rsidR="000A36ED">
        <w:rPr>
          <w:rFonts w:ascii="Times New Roman" w:eastAsia="Times New Roman" w:hAnsi="Times New Roman" w:cs="Times New Roman"/>
          <w:sz w:val="24"/>
          <w:szCs w:val="24"/>
        </w:rPr>
        <w:t> </w:t>
      </w:r>
      <w:proofErr w:type="spellStart"/>
      <w:r w:rsidRPr="00B40111">
        <w:rPr>
          <w:rFonts w:ascii="Times New Roman" w:eastAsia="Times New Roman" w:hAnsi="Times New Roman" w:cs="Times New Roman"/>
          <w:sz w:val="24"/>
          <w:szCs w:val="24"/>
        </w:rPr>
        <w:t>marginalizovaných</w:t>
      </w:r>
      <w:proofErr w:type="spellEnd"/>
      <w:r w:rsidRPr="00B40111">
        <w:rPr>
          <w:rFonts w:ascii="Times New Roman" w:eastAsia="Times New Roman" w:hAnsi="Times New Roman" w:cs="Times New Roman"/>
          <w:sz w:val="24"/>
          <w:szCs w:val="24"/>
        </w:rPr>
        <w:t xml:space="preserve"> skupín obyvateľstva. V pilotnej fáze bolo vytvorené Národné podnikateľské centrum v Bratislave, ktoré sídli v priestoroch </w:t>
      </w:r>
      <w:proofErr w:type="spellStart"/>
      <w:r w:rsidRPr="00B40111">
        <w:rPr>
          <w:rFonts w:ascii="Times New Roman" w:eastAsia="Times New Roman" w:hAnsi="Times New Roman" w:cs="Times New Roman"/>
          <w:sz w:val="24"/>
          <w:szCs w:val="24"/>
        </w:rPr>
        <w:t>Business</w:t>
      </w:r>
      <w:proofErr w:type="spellEnd"/>
      <w:r w:rsidRPr="00B40111">
        <w:rPr>
          <w:rFonts w:ascii="Times New Roman" w:eastAsia="Times New Roman" w:hAnsi="Times New Roman" w:cs="Times New Roman"/>
          <w:sz w:val="24"/>
          <w:szCs w:val="24"/>
        </w:rPr>
        <w:t xml:space="preserve"> Centra </w:t>
      </w:r>
      <w:proofErr w:type="spellStart"/>
      <w:r w:rsidRPr="00B40111">
        <w:rPr>
          <w:rFonts w:ascii="Times New Roman" w:eastAsia="Times New Roman" w:hAnsi="Times New Roman" w:cs="Times New Roman"/>
          <w:sz w:val="24"/>
          <w:szCs w:val="24"/>
        </w:rPr>
        <w:t>Twin</w:t>
      </w:r>
      <w:proofErr w:type="spellEnd"/>
      <w:r w:rsidRPr="00B40111">
        <w:rPr>
          <w:rFonts w:ascii="Times New Roman" w:eastAsia="Times New Roman" w:hAnsi="Times New Roman" w:cs="Times New Roman"/>
          <w:sz w:val="24"/>
          <w:szCs w:val="24"/>
        </w:rPr>
        <w:t xml:space="preserve"> City na </w:t>
      </w:r>
      <w:proofErr w:type="spellStart"/>
      <w:r w:rsidRPr="00B40111">
        <w:rPr>
          <w:rFonts w:ascii="Times New Roman" w:eastAsia="Times New Roman" w:hAnsi="Times New Roman" w:cs="Times New Roman"/>
          <w:sz w:val="24"/>
          <w:szCs w:val="24"/>
        </w:rPr>
        <w:t>Karadžičovej</w:t>
      </w:r>
      <w:proofErr w:type="spellEnd"/>
      <w:r w:rsidRPr="00B40111">
        <w:rPr>
          <w:rFonts w:ascii="Times New Roman" w:eastAsia="Times New Roman" w:hAnsi="Times New Roman" w:cs="Times New Roman"/>
          <w:sz w:val="24"/>
          <w:szCs w:val="24"/>
        </w:rPr>
        <w:t xml:space="preserve"> ulici.</w:t>
      </w:r>
    </w:p>
    <w:p w:rsidR="00B40111" w:rsidRDefault="00B40111" w:rsidP="00B40111">
      <w:pPr>
        <w:spacing w:after="0" w:line="240" w:lineRule="auto"/>
        <w:jc w:val="both"/>
        <w:rPr>
          <w:rFonts w:ascii="Times New Roman" w:eastAsia="Times New Roman" w:hAnsi="Times New Roman" w:cs="Times New Roman"/>
          <w:i/>
          <w:sz w:val="24"/>
          <w:szCs w:val="24"/>
        </w:rPr>
      </w:pPr>
    </w:p>
    <w:p w:rsidR="00403A05" w:rsidRDefault="00403A05" w:rsidP="00B40111">
      <w:pPr>
        <w:spacing w:after="0" w:line="240" w:lineRule="auto"/>
        <w:jc w:val="both"/>
        <w:rPr>
          <w:rFonts w:ascii="Times New Roman" w:eastAsia="Times New Roman" w:hAnsi="Times New Roman" w:cs="Times New Roman"/>
          <w:i/>
          <w:sz w:val="24"/>
          <w:szCs w:val="24"/>
        </w:rPr>
      </w:pPr>
    </w:p>
    <w:p w:rsidR="00EA55A5" w:rsidRDefault="00EA55A5" w:rsidP="00B40111">
      <w:pPr>
        <w:spacing w:after="0" w:line="240" w:lineRule="auto"/>
        <w:jc w:val="both"/>
        <w:rPr>
          <w:rFonts w:ascii="Times New Roman" w:eastAsia="Times New Roman" w:hAnsi="Times New Roman" w:cs="Times New Roman"/>
          <w:i/>
          <w:sz w:val="24"/>
          <w:szCs w:val="24"/>
        </w:rPr>
      </w:pPr>
    </w:p>
    <w:p w:rsidR="008F6FBD" w:rsidRDefault="008F6FBD" w:rsidP="00B40111">
      <w:pPr>
        <w:spacing w:after="0" w:line="240" w:lineRule="auto"/>
        <w:jc w:val="both"/>
        <w:rPr>
          <w:rFonts w:ascii="Times New Roman" w:eastAsia="Times New Roman" w:hAnsi="Times New Roman" w:cs="Times New Roman"/>
          <w:i/>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lastRenderedPageBreak/>
        <w:t>Princíp 2 Druhá šanca</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V roku 2015 bolo na Slovensku vyhlásených 350 konkurzov MSP, čo predstavuje medziročný pokles o 14,4 %. Z celkového počtu konkurzov bolo 84,0 % vyhlásených v </w:t>
      </w:r>
      <w:proofErr w:type="spellStart"/>
      <w:r w:rsidRPr="00B40111">
        <w:rPr>
          <w:rFonts w:ascii="Times New Roman" w:eastAsia="Times New Roman" w:hAnsi="Times New Roman" w:cs="Times New Roman"/>
          <w:sz w:val="24"/>
          <w:szCs w:val="24"/>
        </w:rPr>
        <w:t>mikropodnikoch</w:t>
      </w:r>
      <w:proofErr w:type="spellEnd"/>
      <w:r w:rsidRPr="00B40111">
        <w:rPr>
          <w:rFonts w:ascii="Times New Roman" w:eastAsia="Times New Roman" w:hAnsi="Times New Roman" w:cs="Times New Roman"/>
          <w:sz w:val="24"/>
          <w:szCs w:val="24"/>
        </w:rPr>
        <w:t xml:space="preserve">. Povolených bolo 91 reštrukturalizácií MSP, čo predstavuje zníženie oproti roku 2014 o 20,2 %. Z celkového počtu povolených reštrukturalizácií MSP bolo 58,2 % v kategórii </w:t>
      </w:r>
      <w:proofErr w:type="spellStart"/>
      <w:r w:rsidRPr="00B40111">
        <w:rPr>
          <w:rFonts w:ascii="Times New Roman" w:eastAsia="Times New Roman" w:hAnsi="Times New Roman" w:cs="Times New Roman"/>
          <w:sz w:val="24"/>
          <w:szCs w:val="24"/>
        </w:rPr>
        <w:t>mikropodnikov</w:t>
      </w:r>
      <w:proofErr w:type="spellEnd"/>
      <w:r w:rsidRPr="00B40111">
        <w:rPr>
          <w:rFonts w:ascii="Times New Roman" w:eastAsia="Times New Roman" w:hAnsi="Times New Roman" w:cs="Times New Roman"/>
          <w:sz w:val="24"/>
          <w:szCs w:val="24"/>
        </w:rPr>
        <w:t xml:space="preserve"> a z hľadiska sektorov v odvetví obchodu (30,8 %).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Novelizáciami zákona o konkurze a reštrukturalizácii v roku 2015 (osobitne zákon č. 87/2015 Z. z.) síce došlo k určitým úpravám podmienok s cieľom zamedziť poškodzovaniu veriteľov v rámci konkurzného a reštrukturalizačného konania a posilnenia a zodpovednosti za podnikanie (napr. povinnosť dlžníka uspokojovať veriteľov nezabezpečených pohľadávok zo svojich budúcich ziskov až do výšky 100 %), napriek tomu pretrváva nepriaznivé postavenie malých veriteľov (z prostredia MSP) oproti zabezpečeným veriteľom v konkurznom a reštrukturalizačnom konaní. V dôsledku preťaženosti súdov zostáva čas potrebný na vyriešenie platobnej neschopnosti neprimerane dlhý.</w:t>
      </w:r>
    </w:p>
    <w:p w:rsidR="00B40111" w:rsidRPr="00B40111" w:rsidRDefault="00B40111" w:rsidP="00B40111">
      <w:pPr>
        <w:spacing w:after="0" w:line="240" w:lineRule="auto"/>
        <w:jc w:val="both"/>
        <w:rPr>
          <w:rFonts w:ascii="Times New Roman" w:eastAsia="Times New Roman" w:hAnsi="Times New Roman" w:cs="Times New Roman"/>
          <w:i/>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3 Najskôr mysli v malom</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Významnou zmenou bolo zavedenie nových veľkostných kategórií podnikov do legislatívnej praxe SR. Zákon č. 431/2002 Z. z. o účtovníctve v znení neskorších predpisov (ďalej len „zákon o účtovníctve“) bol s účinnosťou od 01. 01. 2015 novelizovaný zákonom č.</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333/2014 Z. z., ktorý zaviedol nové kategórie účtovných jednotiek:</w:t>
      </w:r>
    </w:p>
    <w:p w:rsidR="00B40111" w:rsidRPr="00B40111" w:rsidRDefault="00B40111" w:rsidP="00B40111">
      <w:pPr>
        <w:numPr>
          <w:ilvl w:val="0"/>
          <w:numId w:val="34"/>
        </w:numPr>
        <w:spacing w:after="0" w:line="240" w:lineRule="auto"/>
        <w:ind w:left="426" w:hanging="426"/>
        <w:contextualSpacing/>
        <w:jc w:val="both"/>
        <w:rPr>
          <w:rFonts w:ascii="Times New Roman" w:eastAsia="Times New Roman" w:hAnsi="Times New Roman" w:cs="Times New Roman"/>
          <w:sz w:val="24"/>
          <w:szCs w:val="24"/>
        </w:rPr>
      </w:pPr>
      <w:proofErr w:type="spellStart"/>
      <w:r w:rsidRPr="00B40111">
        <w:rPr>
          <w:rFonts w:ascii="Times New Roman" w:eastAsia="Times New Roman" w:hAnsi="Times New Roman" w:cs="Times New Roman"/>
          <w:i/>
          <w:sz w:val="24"/>
          <w:szCs w:val="24"/>
        </w:rPr>
        <w:t>mikro</w:t>
      </w:r>
      <w:proofErr w:type="spellEnd"/>
      <w:r w:rsidRPr="00B40111">
        <w:rPr>
          <w:rFonts w:ascii="Times New Roman" w:eastAsia="Times New Roman" w:hAnsi="Times New Roman" w:cs="Times New Roman"/>
          <w:i/>
          <w:sz w:val="24"/>
          <w:szCs w:val="24"/>
        </w:rPr>
        <w:t xml:space="preserve"> účtovná jednotka</w:t>
      </w:r>
      <w:r w:rsidRPr="00B40111">
        <w:rPr>
          <w:rFonts w:ascii="Times New Roman" w:eastAsia="Times New Roman" w:hAnsi="Times New Roman" w:cs="Times New Roman"/>
          <w:sz w:val="24"/>
          <w:szCs w:val="24"/>
        </w:rPr>
        <w:t xml:space="preserve"> – celková suma majetku najviac 350 tis. €, čistý obrat najviac 700</w:t>
      </w:r>
      <w:r w:rsidR="00313C0E">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tis. €, najviac 10 zamestnancov,</w:t>
      </w:r>
    </w:p>
    <w:p w:rsidR="00B40111" w:rsidRPr="00B40111" w:rsidRDefault="00B40111" w:rsidP="00B40111">
      <w:pPr>
        <w:numPr>
          <w:ilvl w:val="0"/>
          <w:numId w:val="34"/>
        </w:numPr>
        <w:spacing w:after="0" w:line="240" w:lineRule="auto"/>
        <w:ind w:left="426" w:hanging="426"/>
        <w:contextualSpacing/>
        <w:jc w:val="both"/>
        <w:rPr>
          <w:rFonts w:ascii="Times New Roman" w:eastAsia="Times New Roman" w:hAnsi="Times New Roman" w:cs="Times New Roman"/>
          <w:sz w:val="24"/>
          <w:szCs w:val="24"/>
        </w:rPr>
      </w:pPr>
      <w:r w:rsidRPr="00B40111">
        <w:rPr>
          <w:rFonts w:ascii="Times New Roman" w:eastAsia="Times New Roman" w:hAnsi="Times New Roman" w:cs="Times New Roman"/>
          <w:i/>
          <w:sz w:val="24"/>
          <w:szCs w:val="24"/>
        </w:rPr>
        <w:t>malá účtovná jednotka</w:t>
      </w:r>
      <w:r w:rsidRPr="00B40111">
        <w:rPr>
          <w:rFonts w:ascii="Times New Roman" w:eastAsia="Times New Roman" w:hAnsi="Times New Roman" w:cs="Times New Roman"/>
          <w:sz w:val="24"/>
          <w:szCs w:val="24"/>
        </w:rPr>
        <w:t xml:space="preserve"> - celková suma majetku viac ako 350 tis. € a najviac 4 mil. €, čistý obrat viac ako 700 tis. € a najviac 8 mil. €, počet zamestnancov viac ako 10 a najviac 50,</w:t>
      </w:r>
    </w:p>
    <w:p w:rsidR="00B40111" w:rsidRPr="00B40111" w:rsidRDefault="00B40111" w:rsidP="00B40111">
      <w:pPr>
        <w:numPr>
          <w:ilvl w:val="0"/>
          <w:numId w:val="34"/>
        </w:numPr>
        <w:spacing w:after="0" w:line="240" w:lineRule="auto"/>
        <w:ind w:left="426" w:hanging="426"/>
        <w:contextualSpacing/>
        <w:jc w:val="both"/>
        <w:rPr>
          <w:rFonts w:ascii="Times New Roman" w:eastAsia="Times New Roman" w:hAnsi="Times New Roman" w:cs="Times New Roman"/>
          <w:sz w:val="24"/>
          <w:szCs w:val="24"/>
        </w:rPr>
      </w:pPr>
      <w:r w:rsidRPr="00B40111">
        <w:rPr>
          <w:rFonts w:ascii="Times New Roman" w:eastAsia="Times New Roman" w:hAnsi="Times New Roman" w:cs="Times New Roman"/>
          <w:i/>
          <w:sz w:val="24"/>
          <w:szCs w:val="24"/>
        </w:rPr>
        <w:t>veľká účtovná jednotka</w:t>
      </w:r>
      <w:r w:rsidRPr="00B40111">
        <w:rPr>
          <w:rFonts w:ascii="Times New Roman" w:eastAsia="Times New Roman" w:hAnsi="Times New Roman" w:cs="Times New Roman"/>
          <w:sz w:val="24"/>
          <w:szCs w:val="24"/>
        </w:rPr>
        <w:t xml:space="preserve"> - celková suma majetku viac ako 4 mil. €, čistý obrat viac ako 8</w:t>
      </w:r>
      <w:r w:rsidR="00A93725">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mil.</w:t>
      </w:r>
      <w:r w:rsidR="00A93725">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 viac ako 50 zamestnancov.</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Zatriedenie účtovných jednotiek do veľkostných kategórií sa týka len obchodn</w:t>
      </w:r>
      <w:r w:rsidR="00852667">
        <w:rPr>
          <w:rFonts w:ascii="Times New Roman" w:eastAsia="Times New Roman" w:hAnsi="Times New Roman" w:cs="Times New Roman"/>
          <w:sz w:val="24"/>
          <w:szCs w:val="24"/>
        </w:rPr>
        <w:t>ej</w:t>
      </w:r>
      <w:r w:rsidRPr="00B40111">
        <w:rPr>
          <w:rFonts w:ascii="Times New Roman" w:eastAsia="Times New Roman" w:hAnsi="Times New Roman" w:cs="Times New Roman"/>
          <w:sz w:val="24"/>
          <w:szCs w:val="24"/>
        </w:rPr>
        <w:t xml:space="preserve"> spoločnos</w:t>
      </w:r>
      <w:r w:rsidR="00852667">
        <w:rPr>
          <w:rFonts w:ascii="Times New Roman" w:eastAsia="Times New Roman" w:hAnsi="Times New Roman" w:cs="Times New Roman"/>
          <w:sz w:val="24"/>
          <w:szCs w:val="24"/>
        </w:rPr>
        <w:t>ti</w:t>
      </w:r>
      <w:r w:rsidRPr="00B40111">
        <w:rPr>
          <w:rFonts w:ascii="Times New Roman" w:eastAsia="Times New Roman" w:hAnsi="Times New Roman" w:cs="Times New Roman"/>
          <w:sz w:val="24"/>
          <w:szCs w:val="24"/>
        </w:rPr>
        <w:t>, družstv</w:t>
      </w:r>
      <w:r w:rsidR="00852667">
        <w:rPr>
          <w:rFonts w:ascii="Times New Roman" w:eastAsia="Times New Roman" w:hAnsi="Times New Roman" w:cs="Times New Roman"/>
          <w:sz w:val="24"/>
          <w:szCs w:val="24"/>
        </w:rPr>
        <w:t>a</w:t>
      </w:r>
      <w:r w:rsidRPr="00B40111">
        <w:rPr>
          <w:rFonts w:ascii="Times New Roman" w:eastAsia="Times New Roman" w:hAnsi="Times New Roman" w:cs="Times New Roman"/>
          <w:sz w:val="24"/>
          <w:szCs w:val="24"/>
        </w:rPr>
        <w:t>, podnikateľov – fyzických osôb, ktorí vedú podvojné účtovníctvo, podnikateľov - fyzických osôb zapísaných do Obchodného registra</w:t>
      </w:r>
      <w:r w:rsidR="00852667">
        <w:rPr>
          <w:rFonts w:ascii="Times New Roman" w:eastAsia="Times New Roman" w:hAnsi="Times New Roman" w:cs="Times New Roman"/>
          <w:sz w:val="24"/>
          <w:szCs w:val="24"/>
        </w:rPr>
        <w:t xml:space="preserve"> a</w:t>
      </w:r>
      <w:r w:rsidRPr="00B40111">
        <w:rPr>
          <w:rFonts w:ascii="Times New Roman" w:eastAsia="Times New Roman" w:hAnsi="Times New Roman" w:cs="Times New Roman"/>
          <w:sz w:val="24"/>
          <w:szCs w:val="24"/>
        </w:rPr>
        <w:t xml:space="preserve"> pozemkové</w:t>
      </w:r>
      <w:r w:rsidR="00852667">
        <w:rPr>
          <w:rFonts w:ascii="Times New Roman" w:eastAsia="Times New Roman" w:hAnsi="Times New Roman" w:cs="Times New Roman"/>
          <w:sz w:val="24"/>
          <w:szCs w:val="24"/>
        </w:rPr>
        <w:t>ho</w:t>
      </w:r>
      <w:r w:rsidRPr="00B40111">
        <w:rPr>
          <w:rFonts w:ascii="Times New Roman" w:eastAsia="Times New Roman" w:hAnsi="Times New Roman" w:cs="Times New Roman"/>
          <w:sz w:val="24"/>
          <w:szCs w:val="24"/>
        </w:rPr>
        <w:t xml:space="preserve"> spoločenstv</w:t>
      </w:r>
      <w:r w:rsidR="00852667">
        <w:rPr>
          <w:rFonts w:ascii="Times New Roman" w:eastAsia="Times New Roman" w:hAnsi="Times New Roman" w:cs="Times New Roman"/>
          <w:sz w:val="24"/>
          <w:szCs w:val="24"/>
        </w:rPr>
        <w:t>a</w:t>
      </w:r>
      <w:r w:rsidRPr="00B40111">
        <w:rPr>
          <w:rFonts w:ascii="Times New Roman" w:eastAsia="Times New Roman" w:hAnsi="Times New Roman" w:cs="Times New Roman"/>
          <w:sz w:val="24"/>
          <w:szCs w:val="24"/>
        </w:rPr>
        <w:t xml:space="preserve">. Každá veľkostná kategória účtovných jednotiek zostavuje účtovnú závierku podľa osobitných požiadaviek, osobitne zjednodušený je najmä formulár účtovnej závierky </w:t>
      </w:r>
      <w:proofErr w:type="spellStart"/>
      <w:r w:rsidRPr="00B40111">
        <w:rPr>
          <w:rFonts w:ascii="Times New Roman" w:eastAsia="Times New Roman" w:hAnsi="Times New Roman" w:cs="Times New Roman"/>
          <w:sz w:val="24"/>
          <w:szCs w:val="24"/>
        </w:rPr>
        <w:t>mikro</w:t>
      </w:r>
      <w:proofErr w:type="spellEnd"/>
      <w:r w:rsidRPr="00B40111">
        <w:rPr>
          <w:rFonts w:ascii="Times New Roman" w:eastAsia="Times New Roman" w:hAnsi="Times New Roman" w:cs="Times New Roman"/>
          <w:sz w:val="24"/>
          <w:szCs w:val="24"/>
        </w:rPr>
        <w:t xml:space="preserve"> účtovných jednotiek. Aj keď dané opatrenie zjednodušuje podmienky a znižuje záťaž pre časť MSP, teda je v súlade s princípom 3 SBA najskôr mysli v malom, ide o nesystémové definovanie veľkostných kategórií v protiklade s definíciou MSP aplikovanou v EÚ, čo môže prestavovať prekážku pri vytváraní </w:t>
      </w:r>
      <w:proofErr w:type="spellStart"/>
      <w:r w:rsidRPr="00B40111">
        <w:rPr>
          <w:rFonts w:ascii="Times New Roman" w:eastAsia="Times New Roman" w:hAnsi="Times New Roman" w:cs="Times New Roman"/>
          <w:sz w:val="24"/>
          <w:szCs w:val="24"/>
        </w:rPr>
        <w:t>synergií</w:t>
      </w:r>
      <w:proofErr w:type="spellEnd"/>
      <w:r w:rsidRPr="00B40111">
        <w:rPr>
          <w:rFonts w:ascii="Times New Roman" w:eastAsia="Times New Roman" w:hAnsi="Times New Roman" w:cs="Times New Roman"/>
          <w:sz w:val="24"/>
          <w:szCs w:val="24"/>
        </w:rPr>
        <w:t xml:space="preserve"> s inými opatreniami na podporu MSP.</w:t>
      </w:r>
    </w:p>
    <w:p w:rsidR="00B40111" w:rsidRPr="00B40111" w:rsidRDefault="00B40111" w:rsidP="00B40111">
      <w:pPr>
        <w:spacing w:after="0" w:line="240" w:lineRule="auto"/>
        <w:jc w:val="both"/>
        <w:rPr>
          <w:rFonts w:ascii="Times New Roman" w:eastAsia="Times New Roman" w:hAnsi="Times New Roman" w:cs="Times New Roman"/>
          <w:i/>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4 Ústretová správa</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V legislatívnom prostredí najvýznamnejšou zmenou v roku 2015 bolo prijatie Zákona o</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odbornom vzdelávaní a príprave a o zmene a doplnení niektorých zákonov (zákon č. 61/2015</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Z. z.), ktorým sa spustil systém duálneho vzdelávania na stredných odborných školách. Zákon nadobudol účinnosť 01. 04. 2015. V decembri 2015 vstúpil do platnosti zákon č.</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336/2015 Z. z. o podpore najmenej rozvinutých okresov a o zmene a doplnení niektorých zákonov. V nadväznosti na uvedený zákon bol novelizovaný aj zákon o investičnej pomoci (č. 561/2007 Z. z.), v ktorom sa podmienky pre poskytnutie investičnej pomoci pre investičné zámery z oblasti priemyselnej výroby v najmenej rozvinutých okresoch zásadne znížili, a to až na min</w:t>
      </w:r>
      <w:r w:rsidR="00C664FB">
        <w:rPr>
          <w:rFonts w:ascii="Times New Roman" w:eastAsia="Times New Roman" w:hAnsi="Times New Roman" w:cs="Times New Roman"/>
          <w:sz w:val="24"/>
          <w:szCs w:val="24"/>
        </w:rPr>
        <w:t>imálnu</w:t>
      </w:r>
      <w:r w:rsidRPr="00B40111">
        <w:rPr>
          <w:rFonts w:ascii="Times New Roman" w:eastAsia="Times New Roman" w:hAnsi="Times New Roman" w:cs="Times New Roman"/>
          <w:sz w:val="24"/>
          <w:szCs w:val="24"/>
        </w:rPr>
        <w:t xml:space="preserve"> investíciu 200 tis. € a min</w:t>
      </w:r>
      <w:r w:rsidR="00C664FB">
        <w:rPr>
          <w:rFonts w:ascii="Times New Roman" w:eastAsia="Times New Roman" w:hAnsi="Times New Roman" w:cs="Times New Roman"/>
          <w:sz w:val="24"/>
          <w:szCs w:val="24"/>
        </w:rPr>
        <w:t>imálny</w:t>
      </w:r>
      <w:r w:rsidRPr="00B40111">
        <w:rPr>
          <w:rFonts w:ascii="Times New Roman" w:eastAsia="Times New Roman" w:hAnsi="Times New Roman" w:cs="Times New Roman"/>
          <w:sz w:val="24"/>
          <w:szCs w:val="24"/>
        </w:rPr>
        <w:t xml:space="preserve"> počet nových pracovných miest 10. V prípade žiadateľa z</w:t>
      </w:r>
      <w:r w:rsidR="000A36ED">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kategórie MSP sa podmienka min</w:t>
      </w:r>
      <w:r w:rsidR="00C664FB">
        <w:rPr>
          <w:rFonts w:ascii="Times New Roman" w:eastAsia="Times New Roman" w:hAnsi="Times New Roman" w:cs="Times New Roman"/>
          <w:sz w:val="24"/>
          <w:szCs w:val="24"/>
        </w:rPr>
        <w:t>imálnej</w:t>
      </w:r>
      <w:r w:rsidRPr="00B40111">
        <w:rPr>
          <w:rFonts w:ascii="Times New Roman" w:eastAsia="Times New Roman" w:hAnsi="Times New Roman" w:cs="Times New Roman"/>
          <w:sz w:val="24"/>
          <w:szCs w:val="24"/>
        </w:rPr>
        <w:t xml:space="preserve"> investície znižuje na 100 tis. €. Legislatívne prostredie sa vyznačovalo častými zmenami, v rámci 15 podnikateľsky relevantných zákonov bolo v roku 2015 prijatých až 84 rôznych novelizácií.</w:t>
      </w:r>
    </w:p>
    <w:p w:rsid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V oblasti lepšej regulácie došlo úpravou Jednotnej metodiky k zavedeniu posudzovania vplyvov pripravovaných legislatívnych a nelegislatívnych návrhov na MSP, tzv. testu</w:t>
      </w:r>
      <w:r w:rsidR="00FF6162" w:rsidRPr="00FF6162">
        <w:rPr>
          <w:rFonts w:ascii="Times New Roman" w:eastAsia="Times New Roman" w:hAnsi="Times New Roman" w:cs="Times New Roman"/>
          <w:sz w:val="24"/>
          <w:szCs w:val="24"/>
        </w:rPr>
        <w:t xml:space="preserve"> </w:t>
      </w:r>
      <w:r w:rsidR="00FF6162" w:rsidRPr="00B40111">
        <w:rPr>
          <w:rFonts w:ascii="Times New Roman" w:eastAsia="Times New Roman" w:hAnsi="Times New Roman" w:cs="Times New Roman"/>
          <w:sz w:val="24"/>
          <w:szCs w:val="24"/>
        </w:rPr>
        <w:t>MSP</w:t>
      </w:r>
      <w:r w:rsidRPr="00B40111">
        <w:rPr>
          <w:rFonts w:ascii="Times New Roman" w:eastAsia="Times New Roman" w:hAnsi="Times New Roman" w:cs="Times New Roman"/>
          <w:sz w:val="24"/>
          <w:szCs w:val="24"/>
        </w:rPr>
        <w:t>, do procesu prípravy materiálov predkladaných do legislatívneho procesu</w:t>
      </w:r>
      <w:r w:rsidR="00FF6162">
        <w:rPr>
          <w:rFonts w:ascii="Times New Roman" w:eastAsia="Times New Roman" w:hAnsi="Times New Roman" w:cs="Times New Roman"/>
          <w:sz w:val="24"/>
          <w:szCs w:val="24"/>
        </w:rPr>
        <w:t>.</w:t>
      </w:r>
    </w:p>
    <w:p w:rsidR="00B40111" w:rsidRPr="00B40111" w:rsidRDefault="00B40111" w:rsidP="00804E7E">
      <w:pPr>
        <w:spacing w:before="240"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lastRenderedPageBreak/>
        <w:t>Princíp 5 Štátna pomoc a verejné obstarávanie</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Hlavným podporným nástrojom MSP bola aj v roku 2015 pomoc zo štrukturálnych fondov EÚ prostredníctvom Operačného programu Konkurencieschopnosť a hospodársky rast 2007 – 2013 (ďalej len „OP </w:t>
      </w:r>
      <w:proofErr w:type="spellStart"/>
      <w:r w:rsidRPr="00B40111">
        <w:rPr>
          <w:rFonts w:ascii="Times New Roman" w:eastAsia="Times New Roman" w:hAnsi="Times New Roman" w:cs="Times New Roman"/>
          <w:sz w:val="24"/>
          <w:szCs w:val="24"/>
        </w:rPr>
        <w:t>KaHR</w:t>
      </w:r>
      <w:proofErr w:type="spellEnd"/>
      <w:r w:rsidRPr="00B40111">
        <w:rPr>
          <w:rFonts w:ascii="Times New Roman" w:eastAsia="Times New Roman" w:hAnsi="Times New Roman" w:cs="Times New Roman"/>
          <w:sz w:val="24"/>
          <w:szCs w:val="24"/>
        </w:rPr>
        <w:t>“). Do konca roka 2015 bola v rámci OP</w:t>
      </w:r>
      <w:r w:rsidR="000A36ED">
        <w:rPr>
          <w:rFonts w:ascii="Times New Roman" w:eastAsia="Times New Roman" w:hAnsi="Times New Roman" w:cs="Times New Roman"/>
          <w:sz w:val="24"/>
          <w:szCs w:val="24"/>
        </w:rPr>
        <w:t> </w:t>
      </w:r>
      <w:proofErr w:type="spellStart"/>
      <w:r w:rsidRPr="00B40111">
        <w:rPr>
          <w:rFonts w:ascii="Times New Roman" w:eastAsia="Times New Roman" w:hAnsi="Times New Roman" w:cs="Times New Roman"/>
          <w:sz w:val="24"/>
          <w:szCs w:val="24"/>
        </w:rPr>
        <w:t>KaHR</w:t>
      </w:r>
      <w:proofErr w:type="spellEnd"/>
      <w:r w:rsidRPr="00B40111">
        <w:rPr>
          <w:rFonts w:ascii="Times New Roman" w:eastAsia="Times New Roman" w:hAnsi="Times New Roman" w:cs="Times New Roman"/>
          <w:sz w:val="24"/>
          <w:szCs w:val="24"/>
        </w:rPr>
        <w:t xml:space="preserve"> poskytnutá pomoc formou nenávratného finančného príspevku na celkovo 1 600 projektov realizovaných MSP, čo predstavuje 69 % všetkých projektov tohto programu. V samotnom roku 2015 bolo na základe uzavretých zmlúv o NFP vyplatených MSP 181,2 mil. €, čo predstavuje medziročný nárast o viac ako 630 %, pričom podiel MSP na celkovom čerpaní v tomto roku dosiahol 75,3 %.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V roku 2015 došlo k výraznému rozvoju finančných nástrojov realizovaných v rámci iniciatívy JEREMIE. Podpora MSP prostredníctvom nástroja Portfóliový úver </w:t>
      </w:r>
      <w:proofErr w:type="spellStart"/>
      <w:r w:rsidRPr="00B40111">
        <w:rPr>
          <w:rFonts w:ascii="Times New Roman" w:eastAsia="Times New Roman" w:hAnsi="Times New Roman" w:cs="Times New Roman"/>
          <w:sz w:val="24"/>
          <w:szCs w:val="24"/>
        </w:rPr>
        <w:t>zdieľaného</w:t>
      </w:r>
      <w:proofErr w:type="spellEnd"/>
      <w:r w:rsidRPr="00B40111">
        <w:rPr>
          <w:rFonts w:ascii="Times New Roman" w:eastAsia="Times New Roman" w:hAnsi="Times New Roman" w:cs="Times New Roman"/>
          <w:sz w:val="24"/>
          <w:szCs w:val="24"/>
        </w:rPr>
        <w:t xml:space="preserve"> rizika (PRSL) vzrástla medziročne o 185,40 % (5,75 mil. €), na hodnotu 8,8 mil. €. Rovnaký trend bol zaznamenaní aj pri nástroji Portfóliová záruka prvej straty (FLPG), kde došlo k nárastu o 118,93</w:t>
      </w:r>
      <w:r w:rsidR="00895AD7">
        <w:rPr>
          <w:rFonts w:ascii="Times New Roman" w:eastAsia="Times New Roman" w:hAnsi="Times New Roman" w:cs="Times New Roman"/>
          <w:sz w:val="24"/>
          <w:szCs w:val="24"/>
        </w:rPr>
        <w:t> </w:t>
      </w:r>
      <w:r w:rsidRPr="00B40111">
        <w:rPr>
          <w:rFonts w:ascii="Times New Roman" w:eastAsia="Times New Roman" w:hAnsi="Times New Roman" w:cs="Times New Roman"/>
          <w:sz w:val="24"/>
          <w:szCs w:val="24"/>
        </w:rPr>
        <w:t xml:space="preserve">% (55,46 mil. €), na hodnotu 102,1 mil. €. Investície rizikového kapitálu podporené v rámci iniciatívy JEREMIE sa pri medziročnom porovnaní zvýšili o 98,31 % (3 mil. €). Zároveň bol spustený nový finančný nástroj Portfóliový úver </w:t>
      </w:r>
      <w:proofErr w:type="spellStart"/>
      <w:r w:rsidRPr="00B40111">
        <w:rPr>
          <w:rFonts w:ascii="Times New Roman" w:eastAsia="Times New Roman" w:hAnsi="Times New Roman" w:cs="Times New Roman"/>
          <w:sz w:val="24"/>
          <w:szCs w:val="24"/>
        </w:rPr>
        <w:t>zdieľaného</w:t>
      </w:r>
      <w:proofErr w:type="spellEnd"/>
      <w:r w:rsidRPr="00B40111">
        <w:rPr>
          <w:rFonts w:ascii="Times New Roman" w:eastAsia="Times New Roman" w:hAnsi="Times New Roman" w:cs="Times New Roman"/>
          <w:sz w:val="24"/>
          <w:szCs w:val="24"/>
        </w:rPr>
        <w:t xml:space="preserve"> rizika (PRSL II) s dodatočnou alokáciou z OP </w:t>
      </w:r>
      <w:proofErr w:type="spellStart"/>
      <w:r w:rsidRPr="00B40111">
        <w:rPr>
          <w:rFonts w:ascii="Times New Roman" w:eastAsia="Times New Roman" w:hAnsi="Times New Roman" w:cs="Times New Roman"/>
          <w:sz w:val="24"/>
          <w:szCs w:val="24"/>
        </w:rPr>
        <w:t>KaHR</w:t>
      </w:r>
      <w:proofErr w:type="spellEnd"/>
      <w:r w:rsidRPr="00B40111">
        <w:rPr>
          <w:rFonts w:ascii="Times New Roman" w:eastAsia="Times New Roman" w:hAnsi="Times New Roman" w:cs="Times New Roman"/>
          <w:sz w:val="24"/>
          <w:szCs w:val="24"/>
        </w:rPr>
        <w:t xml:space="preserve"> a z presunu časti nevyužitej alokácie iných nástrojov. Alokovaný objem zdrojov sa tak zvýšil na 91,28 mil. €, z čoho samotná alokácia JEREMIE predstavuje 58,87 mil. €. Súčasne bolo upravené </w:t>
      </w:r>
      <w:proofErr w:type="spellStart"/>
      <w:r w:rsidRPr="00B40111">
        <w:rPr>
          <w:rFonts w:ascii="Times New Roman" w:eastAsia="Times New Roman" w:hAnsi="Times New Roman" w:cs="Times New Roman"/>
          <w:sz w:val="24"/>
          <w:szCs w:val="24"/>
        </w:rPr>
        <w:t>zdieľanie</w:t>
      </w:r>
      <w:proofErr w:type="spellEnd"/>
      <w:r w:rsidRPr="00B40111">
        <w:rPr>
          <w:rFonts w:ascii="Times New Roman" w:eastAsia="Times New Roman" w:hAnsi="Times New Roman" w:cs="Times New Roman"/>
          <w:sz w:val="24"/>
          <w:szCs w:val="24"/>
        </w:rPr>
        <w:t xml:space="preserve"> rizika z pomeru 1:1 na 7:3, čo zvýšilo atraktivitu finančných nástrojov pre komerčných sprostredkovateľov.</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Podľa prieskumu využívania podporných nástrojov zo strany MSP realizovaného na jeseň 2015, viac ako 16 % respondentov uviedlo, že v priebehu predchádzajúcich dvoch rokov využili nejaký druh verejnej podpory. 7 % podnikateľov sa o takúto podporu síce pokúsili, ale neboli úspešní. 21,8 % podnikateľov uviedlo, že síce takúto podporu nevyužili, ale uvažujú o jej využití. Viac ako polovica (54,7 %) respondentov uviedla, že takúto podporu nevyužili a ani o nej neuvažujú.</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V oblasti verejného obstarávania bolo najvýznamnejšou zmenou spustenie ostrej prevádzky Elektronického kontraktačného systému (EKS), ktorého súčasťou je aj Elektronické trhovisko, od 01. 02. 2015. Ide o systém plne </w:t>
      </w:r>
      <w:proofErr w:type="spellStart"/>
      <w:r w:rsidRPr="00B40111">
        <w:rPr>
          <w:rFonts w:ascii="Times New Roman" w:eastAsia="Times New Roman" w:hAnsi="Times New Roman" w:cs="Times New Roman"/>
          <w:sz w:val="24"/>
          <w:szCs w:val="24"/>
        </w:rPr>
        <w:t>elektronizovaného</w:t>
      </w:r>
      <w:proofErr w:type="spellEnd"/>
      <w:r w:rsidRPr="00B40111">
        <w:rPr>
          <w:rFonts w:ascii="Times New Roman" w:eastAsia="Times New Roman" w:hAnsi="Times New Roman" w:cs="Times New Roman"/>
          <w:sz w:val="24"/>
          <w:szCs w:val="24"/>
        </w:rPr>
        <w:t xml:space="preserve"> zadávania ponúk a nákupov tovarov, stavebných prác alebo služieb, ktoré sú bežne dostupné na trhu. Cieľom je vytvoriť transparentnejšie a jednoduchšie podmienky pre podnikateľov, osobitne MSP, pre zapojenie sa do verejného obstarávania. Napriek nestabilite legislatívneho rámca v oblasti verejného obstarávania (v roku 2015 bolo prijatých celkovo 6 novelizácií Zákona o verejnom obstarávaní) sa podiel MSP na celkovej hodnote uzavretých zmlúv v rámci verejného obstarávania v medziročnom porovnaní zvýšil (o 1,8 p. b.) na 82,1 %. Podiel MSP na celkovej výške poskytnutej štátnej pomoci v roku 2015 medziročne vzrástol (o 5,9 p. b.) na 60,8 %.</w:t>
      </w:r>
    </w:p>
    <w:p w:rsidR="00B40111" w:rsidRPr="00B40111" w:rsidRDefault="00B40111" w:rsidP="00B40111">
      <w:pPr>
        <w:spacing w:after="0" w:line="240" w:lineRule="auto"/>
        <w:jc w:val="both"/>
        <w:rPr>
          <w:rFonts w:ascii="Times New Roman" w:eastAsia="Times New Roman" w:hAnsi="Times New Roman" w:cs="Times New Roman"/>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6 Prístup k financovaniu</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B40111">
        <w:rPr>
          <w:rFonts w:ascii="Times New Roman" w:eastAsia="Times New Roman" w:hAnsi="Times New Roman" w:cs="Times New Roman"/>
          <w:sz w:val="24"/>
          <w:szCs w:val="24"/>
        </w:rPr>
        <w:tab/>
        <w:t xml:space="preserve">Z hľadiska prístupu MSP k financovaniu z verejných zdrojov v roku 2015 naďalej prevažovala podpora prostredníctvom grantov EÚ (32,05 %), pričom ich vyplatený objem sa medziročne zvýšil až o 103,61 mil. €, čo predstavuje nárast až o 73,4 %. Bolo to spôsobené najmä v dôsledku zvýšeného čerpania prostriedkov v rámci OP </w:t>
      </w:r>
      <w:proofErr w:type="spellStart"/>
      <w:r w:rsidRPr="00B40111">
        <w:rPr>
          <w:rFonts w:ascii="Times New Roman" w:eastAsia="Times New Roman" w:hAnsi="Times New Roman" w:cs="Times New Roman"/>
          <w:sz w:val="24"/>
          <w:szCs w:val="24"/>
        </w:rPr>
        <w:t>KaHR</w:t>
      </w:r>
      <w:proofErr w:type="spellEnd"/>
      <w:r w:rsidRPr="00B40111">
        <w:rPr>
          <w:rFonts w:ascii="Times New Roman" w:eastAsia="Times New Roman" w:hAnsi="Times New Roman" w:cs="Times New Roman"/>
          <w:sz w:val="24"/>
          <w:szCs w:val="24"/>
        </w:rPr>
        <w:t xml:space="preserve">. Druhý najvýznamnejší podiel dosiahli úvery zo zdrojov ŠR (21,34 %), nasledované úvermi s podporou EÚ (18,91 %). Obidve tieto formy zaznamenávajú v posledných rokoch rastúci trend, pričom v prípade úverov s podporou EÚ došlo k medziročnému nárastu až o 88,24 % (v dôsledku rozbehu iniciatívy JEREMIE). Významný medziročný nárast bol zaznamenaný pri podpore v programov rámci spoločnej poľnohospodárskej politiky, a to až o 100,97 %. V rámci opatrení aktívnej politiky trhu práce, ktoré dosiahli podiel 12,29 %, došlo medziročne k výraznému navýšeniu zdrojov pri 2 opatreniach: Príspevok na samostatnú zárobkovú činnosť /§ 49/ (o 41,3 %) a Príspevok na podporu zamestnávania znevýhodneného uchádzača o zamestnanie /§ 50/ (o 49,08 %), zároveň bolo v tomto roku zavedené nové opatrenie Príspevok na podporu vytvorenia pracovného miesta v prvom pravidelne platenom zamestnaní (§ 51a) s celkovým objemom čerpaných prostriedkov vo výške 4,22 mil. €. Z medziročného porovnania sumárneho objemu finančných prostriedkov </w:t>
      </w:r>
      <w:r w:rsidRPr="00B40111">
        <w:rPr>
          <w:rFonts w:ascii="Times New Roman" w:eastAsia="Times New Roman" w:hAnsi="Times New Roman" w:cs="Times New Roman"/>
          <w:sz w:val="24"/>
          <w:szCs w:val="24"/>
        </w:rPr>
        <w:lastRenderedPageBreak/>
        <w:t>čerpaných MSP z verejných finančných nástrojov možno konštatovať nárast čerpania prostriedkov v roku 2015 o 39,05 % na úroveň 763,70 mil. €.</w:t>
      </w:r>
    </w:p>
    <w:p w:rsidR="00B40111" w:rsidRDefault="00B40111" w:rsidP="00B40111">
      <w:pPr>
        <w:spacing w:after="0" w:line="240" w:lineRule="auto"/>
        <w:jc w:val="both"/>
        <w:rPr>
          <w:rFonts w:ascii="Times New Roman" w:eastAsia="Times New Roman" w:hAnsi="Times New Roman" w:cs="Times New Roman"/>
          <w:sz w:val="24"/>
          <w:szCs w:val="24"/>
        </w:rPr>
      </w:pPr>
    </w:p>
    <w:p w:rsidR="00856FD0" w:rsidRPr="00856FD0" w:rsidRDefault="00856FD0" w:rsidP="00B4011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Graf 8.2 Štruktúra foriem financovania MSP v roku 2015 v %</w:t>
      </w:r>
    </w:p>
    <w:p w:rsidR="00B40111" w:rsidRPr="00B40111" w:rsidRDefault="00B40111" w:rsidP="00B40111">
      <w:pPr>
        <w:spacing w:after="0" w:line="240" w:lineRule="auto"/>
        <w:jc w:val="both"/>
        <w:rPr>
          <w:rFonts w:ascii="Times New Roman" w:eastAsia="Times New Roman" w:hAnsi="Times New Roman" w:cs="Times New Roman"/>
          <w:sz w:val="24"/>
          <w:szCs w:val="24"/>
        </w:rPr>
      </w:pPr>
      <w:r w:rsidRPr="00804E7E">
        <w:rPr>
          <w:rFonts w:ascii="Times New Roman" w:eastAsia="Times New Roman" w:hAnsi="Times New Roman" w:cs="Times New Roman"/>
          <w:noProof/>
          <w:sz w:val="19"/>
          <w:szCs w:val="24"/>
          <w:lang w:eastAsia="sk-SK"/>
        </w:rPr>
        <w:drawing>
          <wp:inline distT="0" distB="0" distL="0" distR="0" wp14:anchorId="1AACEA0F" wp14:editId="769BFD04">
            <wp:extent cx="5773271" cy="3128683"/>
            <wp:effectExtent l="0" t="0" r="18415" b="14605"/>
            <wp:docPr id="3" name="Graf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40111" w:rsidRPr="00B40111" w:rsidRDefault="00B40111" w:rsidP="00B40111">
      <w:pPr>
        <w:spacing w:after="0" w:line="240" w:lineRule="auto"/>
        <w:jc w:val="both"/>
        <w:rPr>
          <w:rFonts w:ascii="Times New Roman" w:eastAsia="Times New Roman" w:hAnsi="Times New Roman" w:cs="Times New Roman"/>
          <w:sz w:val="20"/>
          <w:szCs w:val="24"/>
        </w:rPr>
      </w:pPr>
      <w:r w:rsidRPr="00B40111">
        <w:rPr>
          <w:rFonts w:ascii="Times New Roman" w:eastAsia="Times New Roman" w:hAnsi="Times New Roman" w:cs="Times New Roman"/>
          <w:sz w:val="20"/>
          <w:szCs w:val="24"/>
        </w:rPr>
        <w:t xml:space="preserve">Zdroj: </w:t>
      </w:r>
      <w:r w:rsidR="00313C0E" w:rsidRPr="00313C0E">
        <w:rPr>
          <w:rFonts w:ascii="Times New Roman" w:eastAsia="Times New Roman" w:hAnsi="Times New Roman" w:cs="Times New Roman"/>
          <w:sz w:val="20"/>
          <w:szCs w:val="24"/>
        </w:rPr>
        <w:t xml:space="preserve">Slovak </w:t>
      </w:r>
      <w:proofErr w:type="spellStart"/>
      <w:r w:rsidR="00313C0E" w:rsidRPr="00313C0E">
        <w:rPr>
          <w:rFonts w:ascii="Times New Roman" w:eastAsia="Times New Roman" w:hAnsi="Times New Roman" w:cs="Times New Roman"/>
          <w:sz w:val="20"/>
          <w:szCs w:val="24"/>
        </w:rPr>
        <w:t>Business</w:t>
      </w:r>
      <w:proofErr w:type="spellEnd"/>
      <w:r w:rsidR="00313C0E" w:rsidRPr="00313C0E">
        <w:rPr>
          <w:rFonts w:ascii="Times New Roman" w:eastAsia="Times New Roman" w:hAnsi="Times New Roman" w:cs="Times New Roman"/>
          <w:sz w:val="20"/>
          <w:szCs w:val="24"/>
        </w:rPr>
        <w:t xml:space="preserve"> </w:t>
      </w:r>
      <w:proofErr w:type="spellStart"/>
      <w:r w:rsidR="00313C0E" w:rsidRPr="00313C0E">
        <w:rPr>
          <w:rFonts w:ascii="Times New Roman" w:eastAsia="Times New Roman" w:hAnsi="Times New Roman" w:cs="Times New Roman"/>
          <w:sz w:val="20"/>
          <w:szCs w:val="24"/>
        </w:rPr>
        <w:t>Agency</w:t>
      </w:r>
      <w:proofErr w:type="spellEnd"/>
    </w:p>
    <w:p w:rsidR="00B40111" w:rsidRPr="00B40111" w:rsidRDefault="00B40111" w:rsidP="00B40111">
      <w:pPr>
        <w:spacing w:after="0" w:line="240" w:lineRule="auto"/>
        <w:jc w:val="both"/>
        <w:rPr>
          <w:rFonts w:ascii="Times New Roman" w:eastAsia="Times New Roman" w:hAnsi="Times New Roman" w:cs="Times New Roman"/>
          <w:i/>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7 Jednotný trh</w:t>
      </w:r>
    </w:p>
    <w:p w:rsidR="00B40111" w:rsidRPr="00B40111" w:rsidRDefault="00323457" w:rsidP="0032345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V</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oku </w:t>
      </w:r>
      <w:r w:rsidR="00B40111" w:rsidRPr="00B40111">
        <w:rPr>
          <w:rFonts w:ascii="Times New Roman" w:eastAsia="Times New Roman" w:hAnsi="Times New Roman" w:cs="Times New Roman"/>
          <w:sz w:val="24"/>
          <w:szCs w:val="24"/>
        </w:rPr>
        <w:t>2015 tvoril vývoz do krajín EÚ 88,8</w:t>
      </w:r>
      <w:r>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 podiel z celkového vývozu MSP. V</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 xml:space="preserve">porovnaní s ostatnými členskými krajinami EÚ je Slovensko na </w:t>
      </w:r>
      <w:r>
        <w:rPr>
          <w:rFonts w:ascii="Times New Roman" w:eastAsia="Times New Roman" w:hAnsi="Times New Roman" w:cs="Times New Roman"/>
          <w:sz w:val="24"/>
          <w:szCs w:val="24"/>
        </w:rPr>
        <w:t>2.</w:t>
      </w:r>
      <w:r w:rsidR="00B40111" w:rsidRPr="00B40111">
        <w:rPr>
          <w:rFonts w:ascii="Times New Roman" w:eastAsia="Times New Roman" w:hAnsi="Times New Roman" w:cs="Times New Roman"/>
          <w:sz w:val="24"/>
          <w:szCs w:val="24"/>
        </w:rPr>
        <w:t xml:space="preserve"> mieste od konca v podiele MSP na vývoze do krajín EÚ, ktorý dosahuje len 31,5 % (2013). </w:t>
      </w:r>
    </w:p>
    <w:p w:rsidR="00B40111" w:rsidRPr="00B40111" w:rsidRDefault="00323457" w:rsidP="0032345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 xml:space="preserve">Prostredníctvom siete </w:t>
      </w:r>
      <w:proofErr w:type="spellStart"/>
      <w:r w:rsidR="00B40111" w:rsidRPr="00B40111">
        <w:rPr>
          <w:rFonts w:ascii="Times New Roman" w:eastAsia="Times New Roman" w:hAnsi="Times New Roman" w:cs="Times New Roman"/>
          <w:sz w:val="24"/>
          <w:szCs w:val="24"/>
        </w:rPr>
        <w:t>Enetrprise</w:t>
      </w:r>
      <w:proofErr w:type="spellEnd"/>
      <w:r w:rsidR="00B40111" w:rsidRPr="00B40111">
        <w:rPr>
          <w:rFonts w:ascii="Times New Roman" w:eastAsia="Times New Roman" w:hAnsi="Times New Roman" w:cs="Times New Roman"/>
          <w:sz w:val="24"/>
          <w:szCs w:val="24"/>
        </w:rPr>
        <w:t xml:space="preserve"> </w:t>
      </w:r>
      <w:proofErr w:type="spellStart"/>
      <w:r w:rsidR="00B40111" w:rsidRPr="00B40111">
        <w:rPr>
          <w:rFonts w:ascii="Times New Roman" w:eastAsia="Times New Roman" w:hAnsi="Times New Roman" w:cs="Times New Roman"/>
          <w:sz w:val="24"/>
          <w:szCs w:val="24"/>
        </w:rPr>
        <w:t>Europe</w:t>
      </w:r>
      <w:proofErr w:type="spellEnd"/>
      <w:r w:rsidR="00B40111" w:rsidRPr="00B40111">
        <w:rPr>
          <w:rFonts w:ascii="Times New Roman" w:eastAsia="Times New Roman" w:hAnsi="Times New Roman" w:cs="Times New Roman"/>
          <w:sz w:val="24"/>
          <w:szCs w:val="24"/>
        </w:rPr>
        <w:t xml:space="preserve"> </w:t>
      </w:r>
      <w:proofErr w:type="spellStart"/>
      <w:r w:rsidR="00B40111" w:rsidRPr="00B40111">
        <w:rPr>
          <w:rFonts w:ascii="Times New Roman" w:eastAsia="Times New Roman" w:hAnsi="Times New Roman" w:cs="Times New Roman"/>
          <w:sz w:val="24"/>
          <w:szCs w:val="24"/>
        </w:rPr>
        <w:t>Network</w:t>
      </w:r>
      <w:proofErr w:type="spellEnd"/>
      <w:r w:rsidR="00B40111" w:rsidRPr="00B40111">
        <w:rPr>
          <w:rFonts w:ascii="Times New Roman" w:eastAsia="Times New Roman" w:hAnsi="Times New Roman" w:cs="Times New Roman"/>
          <w:sz w:val="24"/>
          <w:szCs w:val="24"/>
        </w:rPr>
        <w:t xml:space="preserve"> (ďalej </w:t>
      </w:r>
      <w:r>
        <w:rPr>
          <w:rFonts w:ascii="Times New Roman" w:eastAsia="Times New Roman" w:hAnsi="Times New Roman" w:cs="Times New Roman"/>
          <w:sz w:val="24"/>
          <w:szCs w:val="24"/>
        </w:rPr>
        <w:t>len „</w:t>
      </w:r>
      <w:r w:rsidR="00B40111" w:rsidRPr="00B40111">
        <w:rPr>
          <w:rFonts w:ascii="Times New Roman" w:eastAsia="Times New Roman" w:hAnsi="Times New Roman" w:cs="Times New Roman"/>
          <w:sz w:val="24"/>
          <w:szCs w:val="24"/>
        </w:rPr>
        <w:t>EEN</w:t>
      </w:r>
      <w:r>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Eximbanky, Agentúry S</w:t>
      </w:r>
      <w:r>
        <w:rPr>
          <w:rFonts w:ascii="Times New Roman" w:eastAsia="Times New Roman" w:hAnsi="Times New Roman" w:cs="Times New Roman"/>
          <w:sz w:val="24"/>
          <w:szCs w:val="24"/>
        </w:rPr>
        <w:t>ARIO</w:t>
      </w:r>
      <w:r w:rsidR="00B40111" w:rsidRPr="00B40111">
        <w:rPr>
          <w:rFonts w:ascii="Times New Roman" w:eastAsia="Times New Roman" w:hAnsi="Times New Roman" w:cs="Times New Roman"/>
          <w:sz w:val="24"/>
          <w:szCs w:val="24"/>
        </w:rPr>
        <w:t xml:space="preserve">, obchodných komôr a ďalších inštitúcií boli realizované rôzne podujatia zamerané na podporu expanzie MSP na jednotný trh (najmä semináre a obchodné misie). Významnou pomocou v tomto smere je sieť SOLVIT (koordinovaná Európskou komisiou), ktorá sa zameriava na riešenie problémov, ktorým čelia občania alebo podnikatelia pri uplatňovaní svojich práv na vnútornom trhu EÚ. Zo 170 zaevidovaných prípadov v databáze SOLVIT (vo vzťahu k SR) v roku 2015 sa podnikateľov týkalo približne 2,9 % prípadov. Národné kontaktné </w:t>
      </w:r>
      <w:r>
        <w:rPr>
          <w:rFonts w:ascii="Times New Roman" w:eastAsia="Times New Roman" w:hAnsi="Times New Roman" w:cs="Times New Roman"/>
          <w:sz w:val="24"/>
          <w:szCs w:val="24"/>
        </w:rPr>
        <w:t>miesto</w:t>
      </w:r>
      <w:r w:rsidR="00B40111" w:rsidRPr="00B40111">
        <w:rPr>
          <w:rFonts w:ascii="Times New Roman" w:eastAsia="Times New Roman" w:hAnsi="Times New Roman" w:cs="Times New Roman"/>
          <w:sz w:val="24"/>
          <w:szCs w:val="24"/>
        </w:rPr>
        <w:t xml:space="preserve"> zriadené Úradom normalizácie, metrológie a skúšobníctva SR poskytuje informácie o</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technických predpisoch a požiadavkách na výrobky v SR a jednotlivých členských krajinách EÚ, vrátane predpisov upravujúcich požiadavky predchádzajúceho schvaľovania. V r</w:t>
      </w:r>
      <w:r>
        <w:rPr>
          <w:rFonts w:ascii="Times New Roman" w:eastAsia="Times New Roman" w:hAnsi="Times New Roman" w:cs="Times New Roman"/>
          <w:sz w:val="24"/>
          <w:szCs w:val="24"/>
        </w:rPr>
        <w:t>oku</w:t>
      </w:r>
      <w:r w:rsidR="00B40111" w:rsidRPr="00B40111">
        <w:rPr>
          <w:rFonts w:ascii="Times New Roman" w:eastAsia="Times New Roman" w:hAnsi="Times New Roman" w:cs="Times New Roman"/>
          <w:sz w:val="24"/>
          <w:szCs w:val="24"/>
        </w:rPr>
        <w:t xml:space="preserve"> 2015 poskytlo služby v 37 prípadoch, väčšinou pre klientov z prostredia MSP.</w:t>
      </w:r>
    </w:p>
    <w:p w:rsidR="00B40111" w:rsidRPr="00B40111" w:rsidRDefault="00B40111" w:rsidP="00682FA7">
      <w:pPr>
        <w:spacing w:after="0" w:line="240" w:lineRule="auto"/>
        <w:jc w:val="both"/>
        <w:rPr>
          <w:rFonts w:ascii="Times New Roman" w:eastAsia="Times New Roman" w:hAnsi="Times New Roman" w:cs="Times New Roman"/>
          <w:sz w:val="24"/>
          <w:szCs w:val="24"/>
        </w:rPr>
      </w:pPr>
    </w:p>
    <w:p w:rsidR="00B40111" w:rsidRPr="00B40111" w:rsidRDefault="00B40111" w:rsidP="00682FA7">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8 Zručnosti a inovácie</w:t>
      </w:r>
    </w:p>
    <w:p w:rsidR="00B40111" w:rsidRPr="00B40111" w:rsidRDefault="00682FA7" w:rsidP="00682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 xml:space="preserve">Novela zákona č. 595/2003 Z. z. o dani z príjmov prijatá s účinnosťou od </w:t>
      </w:r>
      <w:r>
        <w:rPr>
          <w:rFonts w:ascii="Times New Roman" w:eastAsia="Times New Roman" w:hAnsi="Times New Roman" w:cs="Times New Roman"/>
          <w:sz w:val="24"/>
          <w:szCs w:val="24"/>
        </w:rPr>
        <w:t>01. 01.</w:t>
      </w:r>
      <w:r w:rsidR="00B40111" w:rsidRPr="00B40111">
        <w:rPr>
          <w:rFonts w:ascii="Times New Roman" w:eastAsia="Times New Roman" w:hAnsi="Times New Roman" w:cs="Times New Roman"/>
          <w:sz w:val="24"/>
          <w:szCs w:val="24"/>
        </w:rPr>
        <w:t xml:space="preserve"> 2015, ktorá zaviedla odpočet výdavkov (nákladov) na </w:t>
      </w:r>
      <w:proofErr w:type="spellStart"/>
      <w:r>
        <w:rPr>
          <w:rFonts w:ascii="Times New Roman" w:eastAsia="Times New Roman" w:hAnsi="Times New Roman" w:cs="Times New Roman"/>
          <w:sz w:val="24"/>
          <w:szCs w:val="24"/>
        </w:rPr>
        <w:t>VaV</w:t>
      </w:r>
      <w:proofErr w:type="spellEnd"/>
      <w:r w:rsidR="00B40111" w:rsidRPr="00B40111">
        <w:rPr>
          <w:rFonts w:ascii="Times New Roman" w:eastAsia="Times New Roman" w:hAnsi="Times New Roman" w:cs="Times New Roman"/>
          <w:sz w:val="24"/>
          <w:szCs w:val="24"/>
        </w:rPr>
        <w:t xml:space="preserve"> od základu dane (</w:t>
      </w:r>
      <w:r w:rsidR="00B40111" w:rsidRPr="00B40111">
        <w:rPr>
          <w:rFonts w:ascii="Times New Roman" w:eastAsia="Times New Roman" w:hAnsi="Times New Roman" w:cs="Times New Roman"/>
          <w:bCs/>
          <w:sz w:val="24"/>
          <w:szCs w:val="24"/>
        </w:rPr>
        <w:t>tzv. super odpočet)</w:t>
      </w:r>
      <w:r w:rsidR="00B40111" w:rsidRPr="00B40111">
        <w:rPr>
          <w:rFonts w:ascii="Times New Roman" w:eastAsia="Times New Roman" w:hAnsi="Times New Roman" w:cs="Times New Roman"/>
          <w:sz w:val="24"/>
          <w:szCs w:val="24"/>
        </w:rPr>
        <w:t>, predstavuje ústretový krok vlády s cieľom stimulovať rozvoj výskumu, vývoja a inovácií v podnikateľskom prostredí.</w:t>
      </w:r>
    </w:p>
    <w:p w:rsidR="00B40111" w:rsidRPr="00B40111" w:rsidRDefault="00682FA7" w:rsidP="00682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V rámci Schémy na podporu spolupráce podnikateľských subjektov a</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vedecko</w:t>
      </w:r>
      <w:r>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xml:space="preserve">výskumných pracovísk formou Inovačných </w:t>
      </w:r>
      <w:proofErr w:type="spellStart"/>
      <w:r w:rsidR="00B40111" w:rsidRPr="00B40111">
        <w:rPr>
          <w:rFonts w:ascii="Times New Roman" w:eastAsia="Times New Roman" w:hAnsi="Times New Roman" w:cs="Times New Roman"/>
          <w:sz w:val="24"/>
          <w:szCs w:val="24"/>
        </w:rPr>
        <w:t>voucherov</w:t>
      </w:r>
      <w:proofErr w:type="spellEnd"/>
      <w:r w:rsidR="00B40111" w:rsidRPr="00B40111">
        <w:rPr>
          <w:rFonts w:ascii="Times New Roman" w:eastAsia="Times New Roman" w:hAnsi="Times New Roman" w:cs="Times New Roman"/>
          <w:sz w:val="24"/>
          <w:szCs w:val="24"/>
        </w:rPr>
        <w:t xml:space="preserve"> bolo v</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oku </w:t>
      </w:r>
      <w:r w:rsidR="00B40111" w:rsidRPr="00B40111">
        <w:rPr>
          <w:rFonts w:ascii="Times New Roman" w:eastAsia="Times New Roman" w:hAnsi="Times New Roman" w:cs="Times New Roman"/>
          <w:sz w:val="24"/>
          <w:szCs w:val="24"/>
        </w:rPr>
        <w:t xml:space="preserve">2015 podporených 66 inovačných projektov MSP v celkovom objeme 327,7 tis. </w:t>
      </w:r>
      <w:r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xml:space="preserve">. V rámci Schémy pomoci na podporu priemyselných </w:t>
      </w:r>
      <w:proofErr w:type="spellStart"/>
      <w:r w:rsidR="00B40111" w:rsidRPr="00B40111">
        <w:rPr>
          <w:rFonts w:ascii="Times New Roman" w:eastAsia="Times New Roman" w:hAnsi="Times New Roman" w:cs="Times New Roman"/>
          <w:sz w:val="24"/>
          <w:szCs w:val="24"/>
        </w:rPr>
        <w:t>klastrov</w:t>
      </w:r>
      <w:proofErr w:type="spellEnd"/>
      <w:r w:rsidR="00B40111" w:rsidRPr="00B40111">
        <w:rPr>
          <w:rFonts w:ascii="Times New Roman" w:eastAsia="Times New Roman" w:hAnsi="Times New Roman" w:cs="Times New Roman"/>
          <w:sz w:val="24"/>
          <w:szCs w:val="24"/>
        </w:rPr>
        <w:t xml:space="preserve"> bolo podporených 7 klastrových organizácií v celkovej výške 130 tis. </w:t>
      </w:r>
      <w:r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Prostredníctvom Inovačného fondu bola posky</w:t>
      </w:r>
      <w:r>
        <w:rPr>
          <w:rFonts w:ascii="Times New Roman" w:eastAsia="Times New Roman" w:hAnsi="Times New Roman" w:cs="Times New Roman"/>
          <w:sz w:val="24"/>
          <w:szCs w:val="24"/>
        </w:rPr>
        <w:t>tnutá návratná finančná pomoc 5 </w:t>
      </w:r>
      <w:r w:rsidR="00B40111" w:rsidRPr="00B40111">
        <w:rPr>
          <w:rFonts w:ascii="Times New Roman" w:eastAsia="Times New Roman" w:hAnsi="Times New Roman" w:cs="Times New Roman"/>
          <w:sz w:val="24"/>
          <w:szCs w:val="24"/>
        </w:rPr>
        <w:t xml:space="preserve">podnikateľským subjektom v celkovej výške 750 tis. </w:t>
      </w:r>
      <w:r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čo predstavuje 60</w:t>
      </w:r>
      <w:r>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 nárast oproti predchádzajúcemu roku. V rámci Prioritnej osi 1 Inovácie a rast konkurencieschopnosti OP</w:t>
      </w:r>
      <w:r>
        <w:rPr>
          <w:rFonts w:ascii="Times New Roman" w:eastAsia="Times New Roman" w:hAnsi="Times New Roman" w:cs="Times New Roman"/>
          <w:sz w:val="24"/>
          <w:szCs w:val="24"/>
        </w:rPr>
        <w:t> </w:t>
      </w:r>
      <w:proofErr w:type="spellStart"/>
      <w:r w:rsidR="00B40111" w:rsidRPr="00B40111">
        <w:rPr>
          <w:rFonts w:ascii="Times New Roman" w:eastAsia="Times New Roman" w:hAnsi="Times New Roman" w:cs="Times New Roman"/>
          <w:sz w:val="24"/>
          <w:szCs w:val="24"/>
        </w:rPr>
        <w:t>KaHR</w:t>
      </w:r>
      <w:proofErr w:type="spellEnd"/>
      <w:r w:rsidR="00B40111" w:rsidRPr="00B40111">
        <w:rPr>
          <w:rFonts w:ascii="Times New Roman" w:eastAsia="Times New Roman" w:hAnsi="Times New Roman" w:cs="Times New Roman"/>
          <w:sz w:val="24"/>
          <w:szCs w:val="24"/>
        </w:rPr>
        <w:t xml:space="preserve"> bolo podporených 214 MSP, čo predstavuje pokles oproti predchádzajúcemu roku </w:t>
      </w:r>
      <w:r w:rsidR="00B40111" w:rsidRPr="00B40111">
        <w:rPr>
          <w:rFonts w:ascii="Times New Roman" w:eastAsia="Times New Roman" w:hAnsi="Times New Roman" w:cs="Times New Roman"/>
          <w:sz w:val="24"/>
          <w:szCs w:val="24"/>
        </w:rPr>
        <w:lastRenderedPageBreak/>
        <w:t>o</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71</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 na druhej strane čerpanie prostriedkov tejto prioritnej osi na projekty MSP vzrástlo v porovnaní s</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okom </w:t>
      </w:r>
      <w:r w:rsidR="00B40111" w:rsidRPr="00B40111">
        <w:rPr>
          <w:rFonts w:ascii="Times New Roman" w:eastAsia="Times New Roman" w:hAnsi="Times New Roman" w:cs="Times New Roman"/>
          <w:sz w:val="24"/>
          <w:szCs w:val="24"/>
        </w:rPr>
        <w:t>2014 viac ako 6-násobne.</w:t>
      </w:r>
    </w:p>
    <w:p w:rsidR="00B40111" w:rsidRPr="00B40111" w:rsidRDefault="00B40111" w:rsidP="00682FA7">
      <w:pPr>
        <w:spacing w:after="0" w:line="240" w:lineRule="auto"/>
        <w:jc w:val="both"/>
        <w:rPr>
          <w:rFonts w:ascii="Times New Roman" w:eastAsia="Times New Roman" w:hAnsi="Times New Roman" w:cs="Times New Roman"/>
          <w:sz w:val="24"/>
          <w:szCs w:val="24"/>
        </w:rPr>
      </w:pPr>
    </w:p>
    <w:p w:rsidR="00B40111" w:rsidRPr="00B40111" w:rsidRDefault="00682FA7" w:rsidP="00682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Zaujímavou aktivitou v oblasti prepájania oblast</w:t>
      </w:r>
      <w:r w:rsidR="00C664FB">
        <w:rPr>
          <w:rFonts w:ascii="Times New Roman" w:eastAsia="Times New Roman" w:hAnsi="Times New Roman" w:cs="Times New Roman"/>
          <w:sz w:val="24"/>
          <w:szCs w:val="24"/>
        </w:rPr>
        <w:t>í</w:t>
      </w:r>
      <w:r w:rsidR="00B40111" w:rsidRPr="00B40111">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VaV</w:t>
      </w:r>
      <w:proofErr w:type="spellEnd"/>
      <w:r w:rsidR="00B40111" w:rsidRPr="00B40111">
        <w:rPr>
          <w:rFonts w:ascii="Times New Roman" w:eastAsia="Times New Roman" w:hAnsi="Times New Roman" w:cs="Times New Roman"/>
          <w:sz w:val="24"/>
          <w:szCs w:val="24"/>
        </w:rPr>
        <w:t xml:space="preserve"> s podnikateľskou praxou, najmä vo vzťahu k MSP, je Univerzitné centrum inovácií, transferu technológií a ochrany duševného vlastníctva (UCITT) Technickej univerzity v Košiciach. Centrum zriadené v</w:t>
      </w:r>
      <w:r>
        <w:rPr>
          <w:rFonts w:ascii="Times New Roman" w:eastAsia="Times New Roman" w:hAnsi="Times New Roman" w:cs="Times New Roman"/>
          <w:sz w:val="24"/>
          <w:szCs w:val="24"/>
        </w:rPr>
        <w:t xml:space="preserve"> roku </w:t>
      </w:r>
      <w:r w:rsidR="00B40111" w:rsidRPr="00B40111">
        <w:rPr>
          <w:rFonts w:ascii="Times New Roman" w:eastAsia="Times New Roman" w:hAnsi="Times New Roman" w:cs="Times New Roman"/>
          <w:sz w:val="24"/>
          <w:szCs w:val="24"/>
        </w:rPr>
        <w:t>2014 poskytovalo MSP poradenské služby v oblasti ochrany autorských práv, priemyselno-právnej ochrany, ako aj spoluprácu pri príprave zmlúv o vytvorení diela, licenčných zmlúv, podávaní prihlášok a zastupovanie v správnom konaní pred Úradom priemyselného vlastníctva SR (</w:t>
      </w:r>
      <w:r>
        <w:rPr>
          <w:rFonts w:ascii="Times New Roman" w:eastAsia="Times New Roman" w:hAnsi="Times New Roman" w:cs="Times New Roman"/>
          <w:sz w:val="24"/>
          <w:szCs w:val="24"/>
        </w:rPr>
        <w:t>ÚPV </w:t>
      </w:r>
      <w:r w:rsidR="00B40111" w:rsidRPr="00B40111">
        <w:rPr>
          <w:rFonts w:ascii="Times New Roman" w:eastAsia="Times New Roman" w:hAnsi="Times New Roman" w:cs="Times New Roman"/>
          <w:sz w:val="24"/>
          <w:szCs w:val="24"/>
        </w:rPr>
        <w:t>SR). V</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oku </w:t>
      </w:r>
      <w:r w:rsidR="00B40111" w:rsidRPr="00B40111">
        <w:rPr>
          <w:rFonts w:ascii="Times New Roman" w:eastAsia="Times New Roman" w:hAnsi="Times New Roman" w:cs="Times New Roman"/>
          <w:sz w:val="24"/>
          <w:szCs w:val="24"/>
        </w:rPr>
        <w:t>2015 ÚPV SR centru zaregistroval 32 patentových prihlášok, 56 prihlášok úžitkových vzorov a 1 prihlášku dizajnu</w:t>
      </w:r>
      <w:r>
        <w:rPr>
          <w:rFonts w:ascii="Times New Roman" w:eastAsia="Times New Roman" w:hAnsi="Times New Roman" w:cs="Times New Roman"/>
          <w:sz w:val="24"/>
          <w:szCs w:val="24"/>
        </w:rPr>
        <w:t>. Z</w:t>
      </w:r>
      <w:r w:rsidR="00B40111" w:rsidRPr="00B40111">
        <w:rPr>
          <w:rFonts w:ascii="Times New Roman" w:eastAsia="Times New Roman" w:hAnsi="Times New Roman" w:cs="Times New Roman"/>
          <w:sz w:val="24"/>
          <w:szCs w:val="24"/>
        </w:rPr>
        <w:t>ároveň udelil 7 patentov a zapísal 24 úžitkových vzorov.</w:t>
      </w:r>
    </w:p>
    <w:p w:rsidR="00B40111" w:rsidRPr="00B40111" w:rsidRDefault="00B40111" w:rsidP="00B40111">
      <w:pPr>
        <w:spacing w:after="0" w:line="240" w:lineRule="auto"/>
        <w:jc w:val="both"/>
        <w:rPr>
          <w:rFonts w:ascii="Times New Roman" w:eastAsia="Times New Roman" w:hAnsi="Times New Roman" w:cs="Times New Roman"/>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9 Životné prostredie</w:t>
      </w:r>
    </w:p>
    <w:p w:rsidR="00B40111" w:rsidRPr="00B40111" w:rsidRDefault="00682FA7" w:rsidP="00682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 xml:space="preserve">V oblasti opatrení na podporu obehovej ekonomiky, efektívneho využívania zdrojov a znižovania uhlíkovej stopy možno spomenúť aktivity Európskej banky pre obnovu a rozvoj (EBRD). Tá v roku 2015 a pokračovala v podpore investícií do udržateľnej energie v </w:t>
      </w:r>
      <w:r w:rsidR="00D72C96">
        <w:rPr>
          <w:rFonts w:ascii="Times New Roman" w:eastAsia="Times New Roman" w:hAnsi="Times New Roman" w:cs="Times New Roman"/>
          <w:sz w:val="24"/>
          <w:szCs w:val="24"/>
        </w:rPr>
        <w:t>SR</w:t>
      </w:r>
      <w:r w:rsidR="00B40111" w:rsidRPr="00B40111">
        <w:rPr>
          <w:rFonts w:ascii="Times New Roman" w:eastAsia="Times New Roman" w:hAnsi="Times New Roman" w:cs="Times New Roman"/>
          <w:sz w:val="24"/>
          <w:szCs w:val="24"/>
        </w:rPr>
        <w:t xml:space="preserve"> treťou fázou úspešného programu SLOVSEFF. Pokračovanie programu je príspevkom k uspokojeniu vysokého záujmu o projekty energetickej efektívnosti medzi menšími firmami a domácnosťami. Dopyt po takomto type investícií je podložený významným úspechom prvých dvoch fáz programu SLOVSEFF a pokračujúcim záujmom slovenských bánk o účasť v tomto programe. V oblasti podpory zo štrukturálnych fondov MSP neboli úspešné. Napriek medziročnému nárastu pomoci poskytnutej v</w:t>
      </w:r>
      <w:r w:rsidR="0066211D">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sidR="0066211D">
        <w:rPr>
          <w:rFonts w:ascii="Times New Roman" w:eastAsia="Times New Roman" w:hAnsi="Times New Roman" w:cs="Times New Roman"/>
          <w:sz w:val="24"/>
          <w:szCs w:val="24"/>
        </w:rPr>
        <w:t xml:space="preserve">oku </w:t>
      </w:r>
      <w:r w:rsidR="00B40111" w:rsidRPr="00B40111">
        <w:rPr>
          <w:rFonts w:ascii="Times New Roman" w:eastAsia="Times New Roman" w:hAnsi="Times New Roman" w:cs="Times New Roman"/>
          <w:sz w:val="24"/>
          <w:szCs w:val="24"/>
        </w:rPr>
        <w:t>2015 z Operačného programu Životné prostredie o 302,6</w:t>
      </w:r>
      <w:r w:rsidR="0066211D">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 dosiahol podiel pomoci poskytnutej MSP iba 5</w:t>
      </w:r>
      <w:r w:rsidR="0066211D">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w:t>
      </w:r>
    </w:p>
    <w:p w:rsidR="00B40111" w:rsidRPr="00B40111" w:rsidRDefault="00B40111" w:rsidP="00B40111">
      <w:pPr>
        <w:spacing w:after="0" w:line="240" w:lineRule="auto"/>
        <w:jc w:val="both"/>
        <w:rPr>
          <w:rFonts w:ascii="Times New Roman" w:eastAsia="Times New Roman" w:hAnsi="Times New Roman" w:cs="Times New Roman"/>
          <w:sz w:val="24"/>
          <w:szCs w:val="24"/>
        </w:rPr>
      </w:pPr>
    </w:p>
    <w:p w:rsidR="00B40111" w:rsidRPr="00B40111" w:rsidRDefault="00B40111" w:rsidP="00B40111">
      <w:pPr>
        <w:spacing w:after="0" w:line="240" w:lineRule="auto"/>
        <w:jc w:val="both"/>
        <w:rPr>
          <w:rFonts w:ascii="Times New Roman" w:eastAsia="Times New Roman" w:hAnsi="Times New Roman" w:cs="Times New Roman"/>
          <w:i/>
          <w:sz w:val="24"/>
          <w:szCs w:val="24"/>
        </w:rPr>
      </w:pPr>
      <w:r w:rsidRPr="00B40111">
        <w:rPr>
          <w:rFonts w:ascii="Times New Roman" w:eastAsia="Times New Roman" w:hAnsi="Times New Roman" w:cs="Times New Roman"/>
          <w:i/>
          <w:sz w:val="24"/>
          <w:szCs w:val="24"/>
        </w:rPr>
        <w:t>Princíp 10 Internacionalizácia podnikania</w:t>
      </w:r>
    </w:p>
    <w:p w:rsidR="00B40111" w:rsidRPr="00B40111" w:rsidRDefault="00092719" w:rsidP="000927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 xml:space="preserve">V roku 2015 vzrástol medziročne celkový vývoz MSP o 5,7 % (v absolútnom vyjadrení o 977,8 mil. </w:t>
      </w:r>
      <w:r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xml:space="preserve">) na hodnotu 18 170,5 mil. </w:t>
      </w:r>
      <w:r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vertAlign w:val="superscript"/>
        </w:rPr>
        <w:footnoteReference w:id="2"/>
      </w:r>
      <w:r w:rsidR="00B40111" w:rsidRPr="00B40111">
        <w:rPr>
          <w:rFonts w:ascii="Times New Roman" w:eastAsia="Times New Roman" w:hAnsi="Times New Roman" w:cs="Times New Roman"/>
          <w:sz w:val="24"/>
          <w:szCs w:val="24"/>
        </w:rPr>
        <w:t xml:space="preserve"> (do údajov neboli započítané operácie vykonávané zahraničnými osobami). Podiel MSP na celkovom vývoze sa nezmenil, podobne ako v predchádzajúcom roku dosiahol 29,3 %. Podiel MSP na celkovom vývoze do krajín mimo EÚ dosahuje len 18,1</w:t>
      </w:r>
      <w:r>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 xml:space="preserve">% (2013), čo zaraďuje Slovensko na poslednú priečku v rámci krajín EÚ. </w:t>
      </w:r>
    </w:p>
    <w:p w:rsidR="00B40111" w:rsidRPr="00B40111" w:rsidRDefault="00B40111" w:rsidP="00092719">
      <w:pPr>
        <w:spacing w:after="0" w:line="240" w:lineRule="auto"/>
        <w:jc w:val="both"/>
        <w:rPr>
          <w:rFonts w:ascii="Times New Roman" w:eastAsia="Times New Roman" w:hAnsi="Times New Roman" w:cs="Times New Roman"/>
          <w:sz w:val="24"/>
          <w:szCs w:val="24"/>
        </w:rPr>
      </w:pPr>
    </w:p>
    <w:p w:rsidR="00B40111" w:rsidRPr="00B40111" w:rsidRDefault="00092719" w:rsidP="000927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V oblasti opatrení zaujímavé výsledky boli zaznamenané v prípade Podnikateľského centra M</w:t>
      </w:r>
      <w:r w:rsidR="00BC4942">
        <w:rPr>
          <w:rFonts w:ascii="Times New Roman" w:eastAsia="Times New Roman" w:hAnsi="Times New Roman" w:cs="Times New Roman"/>
          <w:sz w:val="24"/>
          <w:szCs w:val="24"/>
        </w:rPr>
        <w:t>inisterstva zahraničných vecí a európskych záležitostí SR (</w:t>
      </w:r>
      <w:proofErr w:type="spellStart"/>
      <w:r w:rsidR="00BC4942">
        <w:rPr>
          <w:rFonts w:ascii="Times New Roman" w:eastAsia="Times New Roman" w:hAnsi="Times New Roman" w:cs="Times New Roman"/>
          <w:sz w:val="24"/>
          <w:szCs w:val="24"/>
        </w:rPr>
        <w:t>M</w:t>
      </w:r>
      <w:r w:rsidR="00B40111" w:rsidRPr="00B40111">
        <w:rPr>
          <w:rFonts w:ascii="Times New Roman" w:eastAsia="Times New Roman" w:hAnsi="Times New Roman" w:cs="Times New Roman"/>
          <w:sz w:val="24"/>
          <w:szCs w:val="24"/>
        </w:rPr>
        <w:t>ZV</w:t>
      </w:r>
      <w:r w:rsidR="00813133">
        <w:rPr>
          <w:rFonts w:ascii="Times New Roman" w:eastAsia="Times New Roman" w:hAnsi="Times New Roman" w:cs="Times New Roman"/>
          <w:sz w:val="24"/>
          <w:szCs w:val="24"/>
        </w:rPr>
        <w:t>a</w:t>
      </w:r>
      <w:r w:rsidR="00B40111" w:rsidRPr="00B40111">
        <w:rPr>
          <w:rFonts w:ascii="Times New Roman" w:eastAsia="Times New Roman" w:hAnsi="Times New Roman" w:cs="Times New Roman"/>
          <w:sz w:val="24"/>
          <w:szCs w:val="24"/>
        </w:rPr>
        <w:t>EZ</w:t>
      </w:r>
      <w:proofErr w:type="spellEnd"/>
      <w:r w:rsidR="00B40111" w:rsidRPr="00B40111">
        <w:rPr>
          <w:rFonts w:ascii="Times New Roman" w:eastAsia="Times New Roman" w:hAnsi="Times New Roman" w:cs="Times New Roman"/>
          <w:sz w:val="24"/>
          <w:szCs w:val="24"/>
        </w:rPr>
        <w:t xml:space="preserve"> SR</w:t>
      </w:r>
      <w:r w:rsidR="00BC4942">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xml:space="preserve">. Centrum v roku 2015 spracovalo kvalifikovanú </w:t>
      </w:r>
      <w:proofErr w:type="spellStart"/>
      <w:r w:rsidR="00B40111" w:rsidRPr="00B40111">
        <w:rPr>
          <w:rFonts w:ascii="Times New Roman" w:eastAsia="Times New Roman" w:hAnsi="Times New Roman" w:cs="Times New Roman"/>
          <w:sz w:val="24"/>
          <w:szCs w:val="24"/>
        </w:rPr>
        <w:t>ekonometrickú</w:t>
      </w:r>
      <w:proofErr w:type="spellEnd"/>
      <w:r w:rsidR="00B40111" w:rsidRPr="00B40111">
        <w:rPr>
          <w:rFonts w:ascii="Times New Roman" w:eastAsia="Times New Roman" w:hAnsi="Times New Roman" w:cs="Times New Roman"/>
          <w:sz w:val="24"/>
          <w:szCs w:val="24"/>
        </w:rPr>
        <w:t xml:space="preserve"> analýzu krajín sveta, ktorá umožnila zistenie komparatívnych výhod SR v jednotlivých komoditách v porovnaní s inými krajinami a vyhodnotenie odbytového potenciálu pre slovenské vývozné tovary podľa teritórií. V rámci finančných nástrojov EXIMBANKY SR dosiahol podiel úverov poskytnutých klientom segmentu MSP 25,85 % z celkovej úverovej angažovanosti, čo je stále pomerne nízky podiel, avšak v medziročnom porovnaní sa daný podiel zvýšil o 16,66 % (7,29 mil. </w:t>
      </w:r>
      <w:r w:rsidR="00BC4942"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 Podiel vystavených záruk pre segment MSP predstavoval len 2,10 % z celkového objemu vystavených záruk, napriek tomu to v porovnaní s rokom 2014 reprezentuje zvýšenie až o 228,96</w:t>
      </w:r>
      <w:r w:rsidR="00BC4942">
        <w:rPr>
          <w:rFonts w:ascii="Times New Roman" w:eastAsia="Times New Roman" w:hAnsi="Times New Roman" w:cs="Times New Roman"/>
          <w:sz w:val="24"/>
          <w:szCs w:val="24"/>
        </w:rPr>
        <w:t xml:space="preserve"> </w:t>
      </w:r>
      <w:r w:rsidR="00B40111" w:rsidRPr="00B40111">
        <w:rPr>
          <w:rFonts w:ascii="Times New Roman" w:eastAsia="Times New Roman" w:hAnsi="Times New Roman" w:cs="Times New Roman"/>
          <w:sz w:val="24"/>
          <w:szCs w:val="24"/>
        </w:rPr>
        <w:t>% (2,29</w:t>
      </w:r>
      <w:r w:rsidR="00BC4942">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mil.</w:t>
      </w:r>
      <w:r w:rsidR="00BC4942">
        <w:rPr>
          <w:rFonts w:ascii="Times New Roman" w:eastAsia="Times New Roman" w:hAnsi="Times New Roman" w:cs="Times New Roman"/>
          <w:sz w:val="24"/>
          <w:szCs w:val="24"/>
        </w:rPr>
        <w:t> </w:t>
      </w:r>
      <w:r w:rsidR="00BC4942" w:rsidRPr="00B40111">
        <w:rPr>
          <w:rFonts w:ascii="Times New Roman" w:eastAsia="Times New Roman" w:hAnsi="Times New Roman" w:cs="Times New Roman"/>
          <w:sz w:val="24"/>
          <w:szCs w:val="24"/>
        </w:rPr>
        <w:t>€</w:t>
      </w:r>
      <w:r w:rsidR="00B40111" w:rsidRPr="00B40111">
        <w:rPr>
          <w:rFonts w:ascii="Times New Roman" w:eastAsia="Times New Roman" w:hAnsi="Times New Roman" w:cs="Times New Roman"/>
          <w:sz w:val="24"/>
          <w:szCs w:val="24"/>
        </w:rPr>
        <w:t>).</w:t>
      </w:r>
    </w:p>
    <w:p w:rsidR="00A20D8C" w:rsidRDefault="00BC4942" w:rsidP="000927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40111" w:rsidRPr="00B40111">
        <w:rPr>
          <w:rFonts w:ascii="Times New Roman" w:eastAsia="Times New Roman" w:hAnsi="Times New Roman" w:cs="Times New Roman"/>
          <w:sz w:val="24"/>
          <w:szCs w:val="24"/>
        </w:rPr>
        <w:t>Na internacionalizáciu podnikania sa zameriava aj činnosť siete EEN. V</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oku </w:t>
      </w:r>
      <w:r w:rsidR="00B40111" w:rsidRPr="00B40111">
        <w:rPr>
          <w:rFonts w:ascii="Times New Roman" w:eastAsia="Times New Roman" w:hAnsi="Times New Roman" w:cs="Times New Roman"/>
          <w:sz w:val="24"/>
          <w:szCs w:val="24"/>
        </w:rPr>
        <w:t>2015 došlo k výraznému rozvoju aktivít a poskytovania informačných služieb oproti predchádzajúcemu roku. V porovnaní s</w:t>
      </w:r>
      <w:r>
        <w:rPr>
          <w:rFonts w:ascii="Times New Roman" w:eastAsia="Times New Roman" w:hAnsi="Times New Roman" w:cs="Times New Roman"/>
          <w:sz w:val="24"/>
          <w:szCs w:val="24"/>
        </w:rPr>
        <w:t> </w:t>
      </w:r>
      <w:r w:rsidR="00B40111" w:rsidRPr="00B4011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okom </w:t>
      </w:r>
      <w:r w:rsidR="00B40111" w:rsidRPr="00B40111">
        <w:rPr>
          <w:rFonts w:ascii="Times New Roman" w:eastAsia="Times New Roman" w:hAnsi="Times New Roman" w:cs="Times New Roman"/>
          <w:sz w:val="24"/>
          <w:szCs w:val="24"/>
        </w:rPr>
        <w:t>2014 bolo realizovaných o 478 viac seminárov a regionálnych podujatí, v prípade spätnej väzby k pripomienkovaniu legislatívy EÚ bol</w:t>
      </w:r>
      <w:r>
        <w:rPr>
          <w:rFonts w:ascii="Times New Roman" w:eastAsia="Times New Roman" w:hAnsi="Times New Roman" w:cs="Times New Roman"/>
          <w:sz w:val="24"/>
          <w:szCs w:val="24"/>
        </w:rPr>
        <w:t>a</w:t>
      </w:r>
      <w:r w:rsidR="00B40111" w:rsidRPr="00B40111">
        <w:rPr>
          <w:rFonts w:ascii="Times New Roman" w:eastAsia="Times New Roman" w:hAnsi="Times New Roman" w:cs="Times New Roman"/>
          <w:sz w:val="24"/>
          <w:szCs w:val="24"/>
        </w:rPr>
        <w:t xml:space="preserve"> zaznamenaná zvýšená aktivita (nárast o 22 zapojených subjektov). Niektoré iné poskytované služby (poradenstvo - </w:t>
      </w:r>
      <w:r w:rsidR="00B40111" w:rsidRPr="00B40111">
        <w:rPr>
          <w:rFonts w:ascii="Times New Roman" w:eastAsia="Times New Roman" w:hAnsi="Times New Roman" w:cs="Times New Roman"/>
          <w:sz w:val="24"/>
          <w:szCs w:val="24"/>
        </w:rPr>
        <w:lastRenderedPageBreak/>
        <w:t>odpovede na otázky, registrácia subjektov pre elektronické služby, účasť na medzinárodných partnerských podujatiach či príprava kooperačných profilov) n</w:t>
      </w:r>
      <w:r w:rsidR="00EA19CD">
        <w:rPr>
          <w:rFonts w:ascii="Times New Roman" w:eastAsia="Times New Roman" w:hAnsi="Times New Roman" w:cs="Times New Roman"/>
          <w:sz w:val="24"/>
          <w:szCs w:val="24"/>
        </w:rPr>
        <w:t>aopak zaznamenali určitý pokles.</w:t>
      </w:r>
    </w:p>
    <w:p w:rsidR="00EA19CD" w:rsidRDefault="00EA19CD" w:rsidP="00092719">
      <w:pPr>
        <w:spacing w:after="0" w:line="240" w:lineRule="auto"/>
        <w:jc w:val="both"/>
        <w:rPr>
          <w:rFonts w:ascii="Times New Roman" w:eastAsia="Times New Roman" w:hAnsi="Times New Roman" w:cs="Times New Roman"/>
          <w:sz w:val="24"/>
          <w:szCs w:val="24"/>
        </w:rPr>
      </w:pPr>
    </w:p>
    <w:p w:rsidR="00EA19CD" w:rsidRDefault="00EA19CD" w:rsidP="00092719">
      <w:pPr>
        <w:spacing w:after="0" w:line="240" w:lineRule="auto"/>
        <w:jc w:val="both"/>
        <w:rPr>
          <w:rFonts w:ascii="Times New Roman" w:eastAsia="Times New Roman" w:hAnsi="Times New Roman" w:cs="Times New Roman"/>
          <w:sz w:val="24"/>
          <w:szCs w:val="24"/>
        </w:rPr>
        <w:sectPr w:rsidR="00EA19CD" w:rsidSect="000F6FCC">
          <w:footerReference w:type="default" r:id="rId39"/>
          <w:endnotePr>
            <w:numFmt w:val="decimal"/>
          </w:endnotePr>
          <w:pgSz w:w="11906" w:h="16838" w:code="9"/>
          <w:pgMar w:top="851" w:right="1416" w:bottom="851" w:left="1134" w:header="709" w:footer="255" w:gutter="0"/>
          <w:paperSrc w:first="15" w:other="15"/>
          <w:pgNumType w:start="1"/>
          <w:cols w:space="708"/>
          <w:docGrid w:linePitch="360"/>
        </w:sectPr>
      </w:pPr>
    </w:p>
    <w:p w:rsidR="00931C42" w:rsidRPr="00931C42" w:rsidRDefault="00931C42" w:rsidP="00931C42">
      <w:pPr>
        <w:spacing w:after="0" w:line="240" w:lineRule="auto"/>
        <w:jc w:val="both"/>
        <w:rPr>
          <w:rFonts w:ascii="Times New Roman" w:hAnsi="Times New Roman"/>
          <w:b/>
          <w:sz w:val="28"/>
          <w:szCs w:val="28"/>
        </w:rPr>
      </w:pPr>
      <w:r w:rsidRPr="00931C42">
        <w:rPr>
          <w:rFonts w:ascii="Times New Roman" w:hAnsi="Times New Roman"/>
          <w:b/>
          <w:sz w:val="28"/>
          <w:szCs w:val="28"/>
        </w:rPr>
        <w:lastRenderedPageBreak/>
        <w:t>Záver</w:t>
      </w:r>
    </w:p>
    <w:p w:rsidR="00931C42" w:rsidRPr="00931C42" w:rsidRDefault="00931C42" w:rsidP="00931C42">
      <w:pPr>
        <w:spacing w:after="0" w:line="240" w:lineRule="auto"/>
        <w:jc w:val="both"/>
        <w:rPr>
          <w:rFonts w:ascii="Times New Roman" w:hAnsi="Times New Roman"/>
          <w:b/>
          <w:sz w:val="24"/>
        </w:rPr>
      </w:pPr>
    </w:p>
    <w:p w:rsidR="00931C42" w:rsidRPr="00937E43" w:rsidRDefault="00931C42" w:rsidP="00C664FB">
      <w:pPr>
        <w:spacing w:after="0" w:line="240" w:lineRule="auto"/>
        <w:contextualSpacing/>
        <w:jc w:val="both"/>
        <w:rPr>
          <w:rFonts w:ascii="Times New Roman" w:hAnsi="Times New Roman"/>
          <w:sz w:val="24"/>
        </w:rPr>
      </w:pPr>
      <w:r w:rsidRPr="00931C42">
        <w:rPr>
          <w:rFonts w:ascii="Times New Roman" w:hAnsi="Times New Roman"/>
          <w:sz w:val="24"/>
        </w:rPr>
        <w:tab/>
        <w:t xml:space="preserve">Ako je z predloženej </w:t>
      </w:r>
      <w:r w:rsidRPr="00DD5E00">
        <w:rPr>
          <w:rFonts w:ascii="Times New Roman" w:hAnsi="Times New Roman"/>
          <w:sz w:val="24"/>
        </w:rPr>
        <w:t xml:space="preserve">správy </w:t>
      </w:r>
      <w:r w:rsidR="00DD5E00">
        <w:rPr>
          <w:rFonts w:ascii="Times New Roman" w:hAnsi="Times New Roman"/>
          <w:sz w:val="24"/>
        </w:rPr>
        <w:t>zjavné</w:t>
      </w:r>
      <w:r w:rsidR="00DD5E00" w:rsidRPr="00DD5E00">
        <w:rPr>
          <w:rFonts w:ascii="Times New Roman" w:hAnsi="Times New Roman"/>
          <w:sz w:val="24"/>
        </w:rPr>
        <w:t xml:space="preserve"> </w:t>
      </w:r>
      <w:r w:rsidRPr="00DD5E00">
        <w:rPr>
          <w:rFonts w:ascii="Times New Roman" w:hAnsi="Times New Roman"/>
          <w:sz w:val="24"/>
        </w:rPr>
        <w:t>podnikateľské prostredie na Slovensku neustále prechádza dramatickým vývojom poznačeným v značnej miere konsolidáciou verejných financií a implementáciou usmernení Európskej komisie.</w:t>
      </w:r>
    </w:p>
    <w:p w:rsidR="00C664FB" w:rsidRPr="00937E43" w:rsidRDefault="00931C42" w:rsidP="00C664FB">
      <w:pPr>
        <w:spacing w:after="0" w:line="240" w:lineRule="auto"/>
        <w:contextualSpacing/>
        <w:jc w:val="both"/>
        <w:rPr>
          <w:rFonts w:ascii="Times New Roman" w:hAnsi="Times New Roman" w:cs="Times New Roman"/>
          <w:sz w:val="24"/>
          <w:szCs w:val="24"/>
        </w:rPr>
      </w:pPr>
      <w:r w:rsidRPr="00937E43">
        <w:rPr>
          <w:rFonts w:ascii="Times New Roman" w:hAnsi="Times New Roman" w:cs="Times New Roman"/>
          <w:sz w:val="24"/>
          <w:szCs w:val="24"/>
        </w:rPr>
        <w:tab/>
      </w:r>
    </w:p>
    <w:p w:rsidR="00931C42" w:rsidRPr="00937E43" w:rsidRDefault="00931C42" w:rsidP="00804E7E">
      <w:pPr>
        <w:spacing w:line="240" w:lineRule="auto"/>
        <w:ind w:firstLine="708"/>
        <w:contextualSpacing/>
        <w:jc w:val="both"/>
        <w:rPr>
          <w:rFonts w:ascii="Times New Roman" w:hAnsi="Times New Roman" w:cs="Times New Roman"/>
          <w:sz w:val="24"/>
          <w:szCs w:val="24"/>
        </w:rPr>
      </w:pPr>
      <w:r w:rsidRPr="00937E43">
        <w:rPr>
          <w:rFonts w:ascii="Times New Roman" w:hAnsi="Times New Roman" w:cs="Times New Roman"/>
          <w:sz w:val="24"/>
          <w:szCs w:val="24"/>
        </w:rPr>
        <w:t xml:space="preserve">I napriek skutočnosti, že za posledný rok sa MH SR podarilo </w:t>
      </w:r>
      <w:r w:rsidRPr="00804E7E">
        <w:rPr>
          <w:rFonts w:ascii="Times New Roman" w:hAnsi="Times New Roman" w:cs="Times New Roman"/>
          <w:sz w:val="24"/>
          <w:szCs w:val="24"/>
        </w:rPr>
        <w:t xml:space="preserve">skvalitniť tvorbu legislatívy, zvýšiť transparentnosť a intenzívnejšie zapojiť podnikateľov do tvorby regulácií </w:t>
      </w:r>
      <w:r w:rsidRPr="00DD5E00">
        <w:rPr>
          <w:rFonts w:ascii="Times New Roman" w:hAnsi="Times New Roman" w:cs="Times New Roman"/>
          <w:sz w:val="24"/>
          <w:szCs w:val="24"/>
        </w:rPr>
        <w:t>a to zaveden</w:t>
      </w:r>
      <w:r w:rsidR="006400DC">
        <w:rPr>
          <w:rFonts w:ascii="Times New Roman" w:hAnsi="Times New Roman" w:cs="Times New Roman"/>
          <w:sz w:val="24"/>
          <w:szCs w:val="24"/>
        </w:rPr>
        <w:t>í</w:t>
      </w:r>
      <w:r w:rsidRPr="00DD5E00">
        <w:rPr>
          <w:rFonts w:ascii="Times New Roman" w:hAnsi="Times New Roman" w:cs="Times New Roman"/>
          <w:sz w:val="24"/>
          <w:szCs w:val="24"/>
        </w:rPr>
        <w:t>m povinných konzultácií a posudzovania vplyvov prostredníctvom Komisie na posudzovanie vybraných vplyvov (</w:t>
      </w:r>
      <w:r w:rsidR="00BE6A0B" w:rsidRPr="00937E43">
        <w:rPr>
          <w:rFonts w:ascii="Times New Roman" w:hAnsi="Times New Roman" w:cs="Times New Roman"/>
          <w:sz w:val="24"/>
          <w:szCs w:val="24"/>
        </w:rPr>
        <w:t>pozri</w:t>
      </w:r>
      <w:r w:rsidRPr="00937E43">
        <w:rPr>
          <w:rFonts w:ascii="Times New Roman" w:hAnsi="Times New Roman" w:cs="Times New Roman"/>
          <w:sz w:val="24"/>
          <w:szCs w:val="24"/>
        </w:rPr>
        <w:t xml:space="preserve"> kapitola </w:t>
      </w:r>
      <w:r w:rsidR="005D574E" w:rsidRPr="00937E43">
        <w:rPr>
          <w:rFonts w:ascii="Times New Roman" w:hAnsi="Times New Roman" w:cs="Times New Roman"/>
          <w:sz w:val="24"/>
          <w:szCs w:val="24"/>
        </w:rPr>
        <w:t>7</w:t>
      </w:r>
      <w:r w:rsidRPr="00937E43">
        <w:rPr>
          <w:rFonts w:ascii="Times New Roman" w:hAnsi="Times New Roman" w:cs="Times New Roman"/>
          <w:sz w:val="24"/>
          <w:szCs w:val="24"/>
        </w:rPr>
        <w:t>. správy)</w:t>
      </w:r>
      <w:r w:rsidR="006400DC">
        <w:rPr>
          <w:rFonts w:ascii="Times New Roman" w:hAnsi="Times New Roman" w:cs="Times New Roman"/>
          <w:sz w:val="24"/>
          <w:szCs w:val="24"/>
        </w:rPr>
        <w:t>,</w:t>
      </w:r>
      <w:r w:rsidRPr="00937E43">
        <w:rPr>
          <w:rFonts w:ascii="Times New Roman" w:hAnsi="Times New Roman" w:cs="Times New Roman"/>
          <w:sz w:val="24"/>
          <w:szCs w:val="24"/>
        </w:rPr>
        <w:t xml:space="preserve"> existujúci stav nie je dostatočný. Želaným je stav, kedy vládne rozhodnutia budú podložené kvalitnými a dostupnými informáciami a dátami, na základe ktorých bude zjavný prínos zvolenej alternatívy, pričom prínosy a náklady riešenia problému v spoločnosti musia byť v ideálnom pomere. </w:t>
      </w:r>
    </w:p>
    <w:p w:rsidR="00C664FB" w:rsidRPr="00937E43" w:rsidRDefault="00931C42" w:rsidP="00804E7E">
      <w:pPr>
        <w:spacing w:line="240" w:lineRule="auto"/>
        <w:contextualSpacing/>
        <w:jc w:val="both"/>
        <w:rPr>
          <w:rFonts w:ascii="Times New Roman" w:hAnsi="Times New Roman" w:cs="Times New Roman"/>
          <w:sz w:val="24"/>
          <w:szCs w:val="24"/>
        </w:rPr>
      </w:pPr>
      <w:r w:rsidRPr="00937E43">
        <w:rPr>
          <w:rFonts w:ascii="Times New Roman" w:hAnsi="Times New Roman" w:cs="Times New Roman"/>
          <w:sz w:val="24"/>
          <w:szCs w:val="24"/>
        </w:rPr>
        <w:tab/>
      </w:r>
    </w:p>
    <w:p w:rsidR="00931C42" w:rsidRPr="00DD5E00" w:rsidRDefault="00931C42" w:rsidP="00804E7E">
      <w:pPr>
        <w:spacing w:line="240" w:lineRule="auto"/>
        <w:ind w:firstLine="708"/>
        <w:contextualSpacing/>
        <w:jc w:val="both"/>
        <w:rPr>
          <w:rFonts w:ascii="Times New Roman" w:hAnsi="Times New Roman" w:cs="Times New Roman"/>
          <w:sz w:val="24"/>
          <w:szCs w:val="24"/>
        </w:rPr>
      </w:pPr>
      <w:r w:rsidRPr="00937E43">
        <w:rPr>
          <w:rFonts w:ascii="Times New Roman" w:hAnsi="Times New Roman" w:cs="Times New Roman"/>
          <w:sz w:val="24"/>
          <w:szCs w:val="24"/>
        </w:rPr>
        <w:t>MH SR bude v ďalšom období dôsledne plniť záväzok vlády z </w:t>
      </w:r>
      <w:r w:rsidR="0046533A" w:rsidRPr="00937E43">
        <w:rPr>
          <w:rFonts w:ascii="Times New Roman" w:hAnsi="Times New Roman" w:cs="Times New Roman"/>
          <w:sz w:val="24"/>
          <w:szCs w:val="24"/>
        </w:rPr>
        <w:t>p</w:t>
      </w:r>
      <w:r w:rsidRPr="00212737">
        <w:rPr>
          <w:rFonts w:ascii="Times New Roman" w:hAnsi="Times New Roman" w:cs="Times New Roman"/>
          <w:sz w:val="24"/>
          <w:szCs w:val="24"/>
        </w:rPr>
        <w:t xml:space="preserve">rogramového vyhlásenia - prijímať </w:t>
      </w:r>
      <w:r w:rsidRPr="00804E7E">
        <w:rPr>
          <w:rFonts w:ascii="Times New Roman" w:hAnsi="Times New Roman" w:cs="Times New Roman"/>
          <w:sz w:val="24"/>
          <w:szCs w:val="24"/>
        </w:rPr>
        <w:t xml:space="preserve">riešenia na znižovanie administratívneho zaťaženia pri podnikaní, </w:t>
      </w:r>
      <w:r w:rsidRPr="00DD5E00">
        <w:rPr>
          <w:rFonts w:ascii="Times New Roman" w:hAnsi="Times New Roman" w:cs="Times New Roman"/>
          <w:sz w:val="24"/>
          <w:szCs w:val="24"/>
        </w:rPr>
        <w:t>ako aj záväzok</w:t>
      </w:r>
      <w:r w:rsidRPr="00804E7E">
        <w:rPr>
          <w:rFonts w:ascii="Times New Roman" w:hAnsi="Times New Roman" w:cs="Times New Roman"/>
          <w:sz w:val="24"/>
          <w:szCs w:val="24"/>
        </w:rPr>
        <w:t xml:space="preserve"> </w:t>
      </w:r>
      <w:r w:rsidRPr="00804E7E">
        <w:rPr>
          <w:rFonts w:ascii="Times New Roman" w:hAnsi="Times New Roman"/>
          <w:sz w:val="24"/>
          <w:szCs w:val="24"/>
        </w:rPr>
        <w:t>kontinuálne zlepšovať podmienky pre podnikanie</w:t>
      </w:r>
      <w:r w:rsidRPr="00DD5E00">
        <w:rPr>
          <w:rFonts w:ascii="Times New Roman" w:hAnsi="Times New Roman" w:cs="Times New Roman"/>
          <w:sz w:val="24"/>
          <w:szCs w:val="24"/>
        </w:rPr>
        <w:t xml:space="preserve">. Na uvedené bude slúžiť Medzirezortná skupina na najvyššej úrovni pre </w:t>
      </w:r>
      <w:proofErr w:type="spellStart"/>
      <w:r w:rsidRPr="00DD5E00">
        <w:rPr>
          <w:rFonts w:ascii="Times New Roman" w:hAnsi="Times New Roman" w:cs="Times New Roman"/>
          <w:sz w:val="24"/>
          <w:szCs w:val="24"/>
        </w:rPr>
        <w:t>Doing</w:t>
      </w:r>
      <w:proofErr w:type="spellEnd"/>
      <w:r w:rsidRPr="00DD5E00">
        <w:rPr>
          <w:rFonts w:ascii="Times New Roman" w:hAnsi="Times New Roman" w:cs="Times New Roman"/>
          <w:sz w:val="24"/>
          <w:szCs w:val="24"/>
        </w:rPr>
        <w:t xml:space="preserve"> </w:t>
      </w:r>
      <w:proofErr w:type="spellStart"/>
      <w:r w:rsidRPr="00DD5E00">
        <w:rPr>
          <w:rFonts w:ascii="Times New Roman" w:hAnsi="Times New Roman" w:cs="Times New Roman"/>
          <w:sz w:val="24"/>
          <w:szCs w:val="24"/>
        </w:rPr>
        <w:t>Business</w:t>
      </w:r>
      <w:proofErr w:type="spellEnd"/>
      <w:r w:rsidRPr="00DD5E00">
        <w:rPr>
          <w:rFonts w:ascii="Times New Roman" w:hAnsi="Times New Roman" w:cs="Times New Roman"/>
          <w:sz w:val="24"/>
          <w:szCs w:val="24"/>
        </w:rPr>
        <w:t xml:space="preserve"> (</w:t>
      </w:r>
      <w:r w:rsidR="00BE6A0B" w:rsidRPr="00937E43">
        <w:rPr>
          <w:rFonts w:ascii="Times New Roman" w:hAnsi="Times New Roman" w:cs="Times New Roman"/>
          <w:sz w:val="24"/>
          <w:szCs w:val="24"/>
        </w:rPr>
        <w:t>pozri</w:t>
      </w:r>
      <w:r w:rsidRPr="00937E43">
        <w:rPr>
          <w:rFonts w:ascii="Times New Roman" w:hAnsi="Times New Roman" w:cs="Times New Roman"/>
          <w:sz w:val="24"/>
          <w:szCs w:val="24"/>
        </w:rPr>
        <w:t xml:space="preserve"> kapitola </w:t>
      </w:r>
      <w:r w:rsidR="005D574E" w:rsidRPr="00937E43">
        <w:rPr>
          <w:rFonts w:ascii="Times New Roman" w:hAnsi="Times New Roman" w:cs="Times New Roman"/>
          <w:sz w:val="24"/>
          <w:szCs w:val="24"/>
        </w:rPr>
        <w:t>6</w:t>
      </w:r>
      <w:r w:rsidRPr="00937E43">
        <w:rPr>
          <w:rFonts w:ascii="Times New Roman" w:hAnsi="Times New Roman" w:cs="Times New Roman"/>
          <w:sz w:val="24"/>
          <w:szCs w:val="24"/>
        </w:rPr>
        <w:t xml:space="preserve">.). Aj z tohto dôvodu si MH SR dalo za cieľ v budúcom roku prijať strategický dokument </w:t>
      </w:r>
      <w:r w:rsidRPr="00804E7E">
        <w:rPr>
          <w:rFonts w:ascii="Times New Roman" w:hAnsi="Times New Roman" w:cs="Times New Roman"/>
          <w:sz w:val="24"/>
          <w:szCs w:val="24"/>
        </w:rPr>
        <w:t>RIA 2020</w:t>
      </w:r>
      <w:r w:rsidRPr="00DD5E00">
        <w:rPr>
          <w:rFonts w:ascii="Times New Roman" w:hAnsi="Times New Roman" w:cs="Times New Roman"/>
          <w:sz w:val="24"/>
          <w:szCs w:val="24"/>
        </w:rPr>
        <w:t>, ktorý stanoví ciele a nástroje na zjednodušenie a sprehľadnenie legislatívy.</w:t>
      </w:r>
    </w:p>
    <w:p w:rsidR="00C664FB" w:rsidRPr="00DD5E00" w:rsidRDefault="00931C42" w:rsidP="00804E7E">
      <w:pPr>
        <w:spacing w:line="240" w:lineRule="auto"/>
        <w:contextualSpacing/>
        <w:jc w:val="both"/>
        <w:rPr>
          <w:rFonts w:ascii="Times New Roman" w:hAnsi="Times New Roman" w:cs="Times New Roman"/>
          <w:sz w:val="24"/>
          <w:szCs w:val="24"/>
        </w:rPr>
      </w:pPr>
      <w:r w:rsidRPr="00DD5E00">
        <w:rPr>
          <w:rFonts w:ascii="Times New Roman" w:hAnsi="Times New Roman" w:cs="Times New Roman"/>
          <w:sz w:val="24"/>
          <w:szCs w:val="24"/>
        </w:rPr>
        <w:tab/>
      </w:r>
    </w:p>
    <w:p w:rsidR="00931C42" w:rsidRPr="00DD5E00" w:rsidRDefault="00931C42" w:rsidP="00804E7E">
      <w:pPr>
        <w:spacing w:line="240" w:lineRule="auto"/>
        <w:ind w:firstLine="708"/>
        <w:contextualSpacing/>
        <w:jc w:val="both"/>
        <w:rPr>
          <w:rFonts w:ascii="Times New Roman" w:hAnsi="Times New Roman" w:cs="Times New Roman"/>
          <w:sz w:val="24"/>
          <w:szCs w:val="24"/>
        </w:rPr>
      </w:pPr>
      <w:r w:rsidRPr="00DD5E00">
        <w:rPr>
          <w:rFonts w:ascii="Times New Roman" w:hAnsi="Times New Roman" w:cs="Times New Roman"/>
          <w:sz w:val="24"/>
          <w:szCs w:val="24"/>
        </w:rPr>
        <w:t xml:space="preserve">V rámci podpory podnikateľov </w:t>
      </w:r>
      <w:r w:rsidR="00B22699">
        <w:rPr>
          <w:rFonts w:ascii="Times New Roman" w:hAnsi="Times New Roman" w:cs="Times New Roman"/>
          <w:sz w:val="24"/>
          <w:szCs w:val="24"/>
        </w:rPr>
        <w:t xml:space="preserve">MH SR </w:t>
      </w:r>
      <w:r w:rsidRPr="00DD5E00">
        <w:rPr>
          <w:rFonts w:ascii="Times New Roman" w:hAnsi="Times New Roman" w:cs="Times New Roman"/>
          <w:sz w:val="24"/>
          <w:szCs w:val="24"/>
        </w:rPr>
        <w:t xml:space="preserve">pokračuje v realizácii osvedčených podporných programov a schém, financovaných </w:t>
      </w:r>
      <w:r w:rsidRPr="00937E43">
        <w:rPr>
          <w:rFonts w:ascii="Times New Roman" w:hAnsi="Times New Roman" w:cs="Times New Roman"/>
          <w:sz w:val="24"/>
          <w:szCs w:val="24"/>
        </w:rPr>
        <w:t xml:space="preserve">či už z prostriedkov štrukturálnych fondov alebo štátneho rozpočtu. Ako nové doposiaľ nerealizované formy podpory MH SR zvažuje podporu prostredníctvom </w:t>
      </w:r>
      <w:r w:rsidRPr="00804E7E">
        <w:rPr>
          <w:rFonts w:ascii="Times New Roman" w:hAnsi="Times New Roman" w:cs="Times New Roman"/>
          <w:sz w:val="24"/>
          <w:szCs w:val="24"/>
        </w:rPr>
        <w:t>anjelských investorov</w:t>
      </w:r>
      <w:r w:rsidRPr="00DD5E00">
        <w:rPr>
          <w:rFonts w:ascii="Times New Roman" w:hAnsi="Times New Roman" w:cs="Times New Roman"/>
          <w:sz w:val="24"/>
          <w:szCs w:val="24"/>
        </w:rPr>
        <w:t xml:space="preserve"> a nefinančnú podporu prostredníctvom zavedenia tzv. </w:t>
      </w:r>
      <w:proofErr w:type="spellStart"/>
      <w:r w:rsidRPr="00804E7E">
        <w:rPr>
          <w:rFonts w:ascii="Times New Roman" w:hAnsi="Times New Roman" w:cs="Times New Roman"/>
          <w:sz w:val="24"/>
          <w:szCs w:val="24"/>
        </w:rPr>
        <w:t>startup</w:t>
      </w:r>
      <w:proofErr w:type="spellEnd"/>
      <w:r w:rsidRPr="00804E7E">
        <w:rPr>
          <w:rFonts w:ascii="Times New Roman" w:hAnsi="Times New Roman" w:cs="Times New Roman"/>
          <w:sz w:val="24"/>
          <w:szCs w:val="24"/>
        </w:rPr>
        <w:t xml:space="preserve"> víz</w:t>
      </w:r>
      <w:r w:rsidRPr="00DD5E00">
        <w:rPr>
          <w:rFonts w:ascii="Times New Roman" w:hAnsi="Times New Roman" w:cs="Times New Roman"/>
          <w:sz w:val="24"/>
          <w:szCs w:val="24"/>
        </w:rPr>
        <w:t xml:space="preserve"> a sprostredkovania </w:t>
      </w:r>
      <w:r w:rsidRPr="00804E7E">
        <w:rPr>
          <w:rFonts w:ascii="Times New Roman" w:hAnsi="Times New Roman" w:cs="Times New Roman"/>
          <w:sz w:val="24"/>
          <w:szCs w:val="24"/>
        </w:rPr>
        <w:t>stáží v renomovaných svetových vedecko-technologických centrách</w:t>
      </w:r>
      <w:r w:rsidRPr="00DD5E00">
        <w:rPr>
          <w:rFonts w:ascii="Times New Roman" w:hAnsi="Times New Roman" w:cs="Times New Roman"/>
          <w:sz w:val="24"/>
          <w:szCs w:val="24"/>
        </w:rPr>
        <w:t xml:space="preserve">. Ide predovšetkým o podporu pre začínajúcich podnikateľov s inovatívnymi projektmi. </w:t>
      </w:r>
    </w:p>
    <w:p w:rsidR="00C664FB" w:rsidRPr="00DD5E00" w:rsidRDefault="00931C42" w:rsidP="00804E7E">
      <w:pPr>
        <w:spacing w:line="240" w:lineRule="auto"/>
        <w:contextualSpacing/>
        <w:jc w:val="both"/>
        <w:rPr>
          <w:rFonts w:ascii="Times New Roman" w:hAnsi="Times New Roman" w:cs="Times New Roman"/>
          <w:sz w:val="24"/>
          <w:szCs w:val="24"/>
        </w:rPr>
      </w:pPr>
      <w:r w:rsidRPr="00DD5E00">
        <w:rPr>
          <w:rFonts w:ascii="Times New Roman" w:hAnsi="Times New Roman" w:cs="Times New Roman"/>
          <w:sz w:val="24"/>
          <w:szCs w:val="24"/>
        </w:rPr>
        <w:tab/>
      </w:r>
    </w:p>
    <w:p w:rsidR="00931C42" w:rsidRPr="00DD5E00" w:rsidRDefault="0089671B" w:rsidP="00804E7E">
      <w:pPr>
        <w:spacing w:line="240" w:lineRule="auto"/>
        <w:ind w:firstLine="708"/>
        <w:contextualSpacing/>
        <w:jc w:val="both"/>
        <w:rPr>
          <w:rFonts w:ascii="Times New Roman" w:hAnsi="Times New Roman" w:cs="Times New Roman"/>
          <w:sz w:val="24"/>
          <w:szCs w:val="24"/>
        </w:rPr>
      </w:pPr>
      <w:r w:rsidRPr="00DD5E00">
        <w:rPr>
          <w:rFonts w:ascii="Times New Roman" w:hAnsi="Times New Roman" w:cs="Times New Roman"/>
          <w:sz w:val="24"/>
          <w:szCs w:val="24"/>
        </w:rPr>
        <w:t xml:space="preserve">01. 01. 2017 nadobudne účinnosť </w:t>
      </w:r>
      <w:r w:rsidR="00931C42" w:rsidRPr="00804E7E">
        <w:rPr>
          <w:rFonts w:ascii="Times New Roman" w:hAnsi="Times New Roman" w:cs="Times New Roman"/>
          <w:sz w:val="24"/>
          <w:szCs w:val="24"/>
        </w:rPr>
        <w:t xml:space="preserve">zákon </w:t>
      </w:r>
      <w:r w:rsidR="00856FD0" w:rsidRPr="00804E7E">
        <w:rPr>
          <w:rFonts w:ascii="Times New Roman" w:hAnsi="Times New Roman" w:cs="Times New Roman"/>
          <w:sz w:val="24"/>
          <w:szCs w:val="24"/>
        </w:rPr>
        <w:t xml:space="preserve">č. 290/2016 Z. z. </w:t>
      </w:r>
      <w:r w:rsidR="00931C42" w:rsidRPr="00804E7E">
        <w:rPr>
          <w:rFonts w:ascii="Times New Roman" w:hAnsi="Times New Roman" w:cs="Times New Roman"/>
          <w:sz w:val="24"/>
          <w:szCs w:val="24"/>
        </w:rPr>
        <w:t>o podpore malého a stredného podnikania</w:t>
      </w:r>
      <w:r w:rsidR="00931C42" w:rsidRPr="00DD5E00">
        <w:rPr>
          <w:rFonts w:ascii="Times New Roman" w:hAnsi="Times New Roman" w:cs="Times New Roman"/>
          <w:sz w:val="24"/>
          <w:szCs w:val="24"/>
        </w:rPr>
        <w:t xml:space="preserve">, ktorý upravuje, resp. vytvára rámec na podporu malého a stredného podnikania na Slovensku, ktoré v slovenskej ekonomike poskytujú pracovné príležitosti 72,7 % aktívnej pracovnej sily a podieľa sa 53,3 % na tvorbe pridanej hodnoty. </w:t>
      </w:r>
    </w:p>
    <w:p w:rsidR="00C664FB" w:rsidRPr="00DD5E00" w:rsidRDefault="00931C42" w:rsidP="00804E7E">
      <w:pPr>
        <w:spacing w:line="240" w:lineRule="auto"/>
        <w:contextualSpacing/>
        <w:jc w:val="both"/>
        <w:rPr>
          <w:rFonts w:ascii="Times New Roman" w:hAnsi="Times New Roman" w:cs="Times New Roman"/>
          <w:sz w:val="24"/>
          <w:szCs w:val="24"/>
        </w:rPr>
      </w:pPr>
      <w:r w:rsidRPr="00DD5E00">
        <w:rPr>
          <w:rFonts w:ascii="Times New Roman" w:hAnsi="Times New Roman" w:cs="Times New Roman"/>
          <w:sz w:val="24"/>
          <w:szCs w:val="24"/>
        </w:rPr>
        <w:tab/>
      </w:r>
    </w:p>
    <w:p w:rsidR="00C664FB" w:rsidRPr="00937E43" w:rsidRDefault="00931C42" w:rsidP="00804E7E">
      <w:pPr>
        <w:spacing w:line="240" w:lineRule="auto"/>
        <w:ind w:firstLine="708"/>
        <w:contextualSpacing/>
        <w:jc w:val="both"/>
        <w:rPr>
          <w:rFonts w:ascii="Times New Roman" w:hAnsi="Times New Roman" w:cs="Times New Roman"/>
          <w:sz w:val="24"/>
          <w:szCs w:val="24"/>
        </w:rPr>
      </w:pPr>
      <w:r w:rsidRPr="00DD5E00">
        <w:rPr>
          <w:rFonts w:ascii="Times New Roman" w:hAnsi="Times New Roman" w:cs="Times New Roman"/>
          <w:sz w:val="24"/>
          <w:szCs w:val="24"/>
        </w:rPr>
        <w:t xml:space="preserve">MH SR sa aktívne zaoberá témou </w:t>
      </w:r>
      <w:proofErr w:type="spellStart"/>
      <w:r w:rsidRPr="00804E7E">
        <w:rPr>
          <w:rFonts w:ascii="Times New Roman" w:hAnsi="Times New Roman" w:cs="Times New Roman"/>
          <w:sz w:val="24"/>
          <w:szCs w:val="24"/>
        </w:rPr>
        <w:t>zdieľanej</w:t>
      </w:r>
      <w:proofErr w:type="spellEnd"/>
      <w:r w:rsidRPr="00804E7E">
        <w:rPr>
          <w:rFonts w:ascii="Times New Roman" w:hAnsi="Times New Roman" w:cs="Times New Roman"/>
          <w:sz w:val="24"/>
          <w:szCs w:val="24"/>
        </w:rPr>
        <w:t xml:space="preserve"> ekonomiky</w:t>
      </w:r>
      <w:r w:rsidRPr="00DD5E00">
        <w:rPr>
          <w:rFonts w:ascii="Times New Roman" w:hAnsi="Times New Roman" w:cs="Times New Roman"/>
          <w:sz w:val="24"/>
          <w:szCs w:val="24"/>
        </w:rPr>
        <w:t xml:space="preserve"> a v súčasnosti analyzuje stav na Slovensku prostredníctvom svojich interných kapacít. Je nevy</w:t>
      </w:r>
      <w:r w:rsidR="00BC4942" w:rsidRPr="00937E43">
        <w:rPr>
          <w:rFonts w:ascii="Times New Roman" w:hAnsi="Times New Roman" w:cs="Times New Roman"/>
          <w:sz w:val="24"/>
          <w:szCs w:val="24"/>
        </w:rPr>
        <w:t>hnutné reagovať na vývoj trhu a </w:t>
      </w:r>
      <w:r w:rsidRPr="00937E43">
        <w:rPr>
          <w:rFonts w:ascii="Times New Roman" w:hAnsi="Times New Roman" w:cs="Times New Roman"/>
          <w:sz w:val="24"/>
          <w:szCs w:val="24"/>
        </w:rPr>
        <w:t xml:space="preserve">pristúpiť k </w:t>
      </w:r>
      <w:proofErr w:type="spellStart"/>
      <w:r w:rsidRPr="00937E43">
        <w:rPr>
          <w:rFonts w:ascii="Times New Roman" w:hAnsi="Times New Roman" w:cs="Times New Roman"/>
          <w:sz w:val="24"/>
          <w:szCs w:val="24"/>
        </w:rPr>
        <w:t>zdieľanej</w:t>
      </w:r>
      <w:proofErr w:type="spellEnd"/>
      <w:r w:rsidRPr="00937E43">
        <w:rPr>
          <w:rFonts w:ascii="Times New Roman" w:hAnsi="Times New Roman" w:cs="Times New Roman"/>
          <w:sz w:val="24"/>
          <w:szCs w:val="24"/>
        </w:rPr>
        <w:t xml:space="preserve"> ekonomike komplexným spôsobom</w:t>
      </w:r>
      <w:r w:rsidR="004941C2" w:rsidRPr="00937E43">
        <w:rPr>
          <w:rFonts w:ascii="Times New Roman" w:hAnsi="Times New Roman" w:cs="Times New Roman"/>
          <w:sz w:val="24"/>
          <w:szCs w:val="24"/>
        </w:rPr>
        <w:t>.</w:t>
      </w:r>
    </w:p>
    <w:p w:rsidR="00931C42" w:rsidRPr="00937E43" w:rsidRDefault="00931C42" w:rsidP="00804E7E">
      <w:pPr>
        <w:spacing w:line="240" w:lineRule="auto"/>
        <w:ind w:firstLine="708"/>
        <w:contextualSpacing/>
        <w:jc w:val="both"/>
        <w:rPr>
          <w:rFonts w:ascii="Times New Roman" w:hAnsi="Times New Roman" w:cs="Times New Roman"/>
          <w:sz w:val="24"/>
          <w:szCs w:val="24"/>
        </w:rPr>
      </w:pPr>
    </w:p>
    <w:p w:rsidR="00EA19CD" w:rsidRDefault="00931C42" w:rsidP="005F2B87">
      <w:pPr>
        <w:spacing w:line="240" w:lineRule="auto"/>
        <w:ind w:firstLine="708"/>
        <w:jc w:val="both"/>
        <w:rPr>
          <w:rFonts w:ascii="Times New Roman" w:hAnsi="Times New Roman" w:cs="Times New Roman"/>
          <w:sz w:val="24"/>
          <w:szCs w:val="24"/>
        </w:rPr>
      </w:pPr>
      <w:r w:rsidRPr="00937E43">
        <w:rPr>
          <w:rFonts w:ascii="Times New Roman" w:hAnsi="Times New Roman" w:cs="Times New Roman"/>
          <w:iCs/>
          <w:sz w:val="24"/>
          <w:szCs w:val="24"/>
        </w:rPr>
        <w:t xml:space="preserve">Prijatá bola aj </w:t>
      </w:r>
      <w:r w:rsidRPr="00804E7E">
        <w:rPr>
          <w:rFonts w:ascii="Times New Roman" w:hAnsi="Times New Roman" w:cs="Times New Roman"/>
          <w:iCs/>
          <w:sz w:val="24"/>
          <w:szCs w:val="24"/>
        </w:rPr>
        <w:t>Koncepcia podpory</w:t>
      </w:r>
      <w:r w:rsidRPr="00DD5E00">
        <w:t xml:space="preserve"> </w:t>
      </w:r>
      <w:r w:rsidR="007504AE" w:rsidRPr="00804E7E">
        <w:rPr>
          <w:rFonts w:ascii="Times New Roman" w:hAnsi="Times New Roman" w:cs="Times New Roman"/>
          <w:iCs/>
          <w:sz w:val="24"/>
          <w:szCs w:val="24"/>
        </w:rPr>
        <w:t xml:space="preserve">centier podnikových služieb, </w:t>
      </w:r>
      <w:r w:rsidRPr="00DD5E00">
        <w:rPr>
          <w:rFonts w:ascii="Times New Roman" w:hAnsi="Times New Roman" w:cs="Times New Roman"/>
          <w:iCs/>
          <w:sz w:val="24"/>
          <w:szCs w:val="24"/>
        </w:rPr>
        <w:t>ktorá má za cieľ udržať a rozvíjať priaznivé podmienky motivujúce zahraničných i slovenských investorov zakladať a rozširovať svoje podnikanie na Slovensku. Tieto spoločnosti sa zameriavajú na vnútropodnikové služby pre svoje materské a sesterské spoločnosti</w:t>
      </w:r>
      <w:r w:rsidRPr="00937E43">
        <w:rPr>
          <w:rFonts w:ascii="Times New Roman" w:hAnsi="Times New Roman" w:cs="Times New Roman"/>
          <w:iCs/>
          <w:sz w:val="24"/>
          <w:szCs w:val="24"/>
        </w:rPr>
        <w:t xml:space="preserve"> alebo pre tretie strany a zamestnávajú kvalifikovaných mladých ľudí.</w:t>
      </w:r>
    </w:p>
    <w:p w:rsidR="0062077F" w:rsidRDefault="0062077F" w:rsidP="005F2B87">
      <w:pPr>
        <w:spacing w:after="0" w:line="240" w:lineRule="auto"/>
        <w:jc w:val="center"/>
      </w:pPr>
    </w:p>
    <w:sectPr w:rsidR="0062077F" w:rsidSect="005F2B87">
      <w:footerReference w:type="default" r:id="rId40"/>
      <w:endnotePr>
        <w:numFmt w:val="decimal"/>
      </w:endnotePr>
      <w:pgSz w:w="11906" w:h="16838" w:code="9"/>
      <w:pgMar w:top="851" w:right="1416" w:bottom="851" w:left="1134" w:header="709" w:footer="255" w:gutter="0"/>
      <w:paperSrc w:first="15" w:other="1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F6B" w:rsidRDefault="003E3F6B">
      <w:pPr>
        <w:spacing w:after="0" w:line="240" w:lineRule="auto"/>
      </w:pPr>
      <w:r>
        <w:separator/>
      </w:r>
    </w:p>
  </w:endnote>
  <w:endnote w:type="continuationSeparator" w:id="0">
    <w:p w:rsidR="003E3F6B" w:rsidRDefault="003E3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altName w:val="Arial Narrow"/>
    <w:panose1 w:val="020B0606020202030204"/>
    <w:charset w:val="EE"/>
    <w:family w:val="swiss"/>
    <w:pitch w:val="variable"/>
    <w:sig w:usb0="00000287" w:usb1="000008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F6B" w:rsidRDefault="003E3F6B">
    <w:pPr>
      <w:pStyle w:val="Pta"/>
      <w:jc w:val="right"/>
    </w:pPr>
  </w:p>
  <w:p w:rsidR="003E3F6B" w:rsidRPr="00311A51" w:rsidRDefault="003E3F6B" w:rsidP="007406BE">
    <w:pPr>
      <w:pStyle w:val="Pta"/>
      <w:jc w:val="righ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93673"/>
      <w:docPartObj>
        <w:docPartGallery w:val="Page Numbers (Bottom of Page)"/>
        <w:docPartUnique/>
      </w:docPartObj>
    </w:sdtPr>
    <w:sdtEndPr>
      <w:rPr>
        <w:rFonts w:ascii="Times New Roman" w:hAnsi="Times New Roman" w:cs="Times New Roman"/>
        <w:sz w:val="24"/>
        <w:szCs w:val="24"/>
      </w:rPr>
    </w:sdtEndPr>
    <w:sdtContent>
      <w:p w:rsidR="003E3F6B" w:rsidRPr="00563DF8" w:rsidRDefault="003E3F6B" w:rsidP="00AA588F">
        <w:pPr>
          <w:pStyle w:val="Pta"/>
          <w:tabs>
            <w:tab w:val="left" w:pos="5775"/>
            <w:tab w:val="right" w:pos="9356"/>
          </w:tabs>
          <w:rPr>
            <w:rFonts w:ascii="Times New Roman" w:hAnsi="Times New Roman" w:cs="Times New Roman"/>
            <w:sz w:val="24"/>
            <w:szCs w:val="24"/>
          </w:rPr>
        </w:pPr>
        <w:r>
          <w:tab/>
        </w:r>
        <w:r>
          <w:tab/>
        </w:r>
        <w:r>
          <w:tab/>
        </w:r>
        <w:r>
          <w:tab/>
        </w:r>
        <w:r w:rsidRPr="00563DF8">
          <w:rPr>
            <w:rFonts w:ascii="Times New Roman" w:hAnsi="Times New Roman" w:cs="Times New Roman"/>
            <w:sz w:val="24"/>
            <w:szCs w:val="24"/>
          </w:rPr>
          <w:fldChar w:fldCharType="begin"/>
        </w:r>
        <w:r w:rsidRPr="00563DF8">
          <w:rPr>
            <w:rFonts w:ascii="Times New Roman" w:hAnsi="Times New Roman" w:cs="Times New Roman"/>
            <w:sz w:val="24"/>
            <w:szCs w:val="24"/>
          </w:rPr>
          <w:instrText>PAGE   \* MERGEFORMAT</w:instrText>
        </w:r>
        <w:r w:rsidRPr="00563DF8">
          <w:rPr>
            <w:rFonts w:ascii="Times New Roman" w:hAnsi="Times New Roman" w:cs="Times New Roman"/>
            <w:sz w:val="24"/>
            <w:szCs w:val="24"/>
          </w:rPr>
          <w:fldChar w:fldCharType="separate"/>
        </w:r>
        <w:r w:rsidR="002B2527">
          <w:rPr>
            <w:rFonts w:ascii="Times New Roman" w:hAnsi="Times New Roman" w:cs="Times New Roman"/>
            <w:noProof/>
            <w:sz w:val="24"/>
            <w:szCs w:val="24"/>
          </w:rPr>
          <w:t>25</w:t>
        </w:r>
        <w:r w:rsidRPr="00563DF8">
          <w:rPr>
            <w:rFonts w:ascii="Times New Roman" w:hAnsi="Times New Roman" w:cs="Times New Roman"/>
            <w:sz w:val="24"/>
            <w:szCs w:val="24"/>
          </w:rPr>
          <w:fldChar w:fldCharType="end"/>
        </w:r>
      </w:p>
    </w:sdtContent>
  </w:sdt>
  <w:p w:rsidR="003E3F6B" w:rsidRPr="00311A51" w:rsidRDefault="003E3F6B" w:rsidP="007406BE">
    <w:pPr>
      <w:pStyle w:val="Pta"/>
      <w:jc w:val="right"/>
      <w:rPr>
        <w:sz w:val="16"/>
      </w:rPr>
    </w:pPr>
  </w:p>
  <w:p w:rsidR="003E3F6B" w:rsidRDefault="003E3F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F6B" w:rsidRPr="00C858AA" w:rsidRDefault="003E3F6B" w:rsidP="00D271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F6B" w:rsidRDefault="003E3F6B">
      <w:pPr>
        <w:spacing w:after="0" w:line="240" w:lineRule="auto"/>
      </w:pPr>
      <w:r>
        <w:separator/>
      </w:r>
    </w:p>
  </w:footnote>
  <w:footnote w:type="continuationSeparator" w:id="0">
    <w:p w:rsidR="003E3F6B" w:rsidRDefault="003E3F6B">
      <w:pPr>
        <w:spacing w:after="0" w:line="240" w:lineRule="auto"/>
      </w:pPr>
      <w:r>
        <w:continuationSeparator/>
      </w:r>
    </w:p>
  </w:footnote>
  <w:footnote w:id="1">
    <w:p w:rsidR="003E3F6B" w:rsidRDefault="003E3F6B" w:rsidP="002C3B84">
      <w:pPr>
        <w:spacing w:after="0" w:line="240" w:lineRule="auto"/>
        <w:jc w:val="both"/>
        <w:rPr>
          <w:rFonts w:ascii="Times New Roman" w:hAnsi="Times New Roman"/>
          <w:sz w:val="20"/>
          <w:szCs w:val="20"/>
        </w:rPr>
      </w:pPr>
      <w:r>
        <w:rPr>
          <w:rStyle w:val="Odkaznapoznmkupodiarou"/>
          <w:rFonts w:ascii="Arial" w:hAnsi="Arial"/>
        </w:rPr>
        <w:footnoteRef/>
      </w:r>
      <w:r>
        <w:rPr>
          <w:sz w:val="20"/>
          <w:szCs w:val="20"/>
        </w:rPr>
        <w:t xml:space="preserve"> </w:t>
      </w:r>
      <w:r>
        <w:rPr>
          <w:rFonts w:ascii="Times New Roman" w:hAnsi="Times New Roman"/>
          <w:sz w:val="20"/>
          <w:szCs w:val="20"/>
        </w:rPr>
        <w:t xml:space="preserve">Za ekonomicky aktívny subjekt sa považuje ŠU SR subjekt, ktorý mal v sledovanom referenčnom období  zamestnancov, tržby alebo investície. K stanoveniu aktivity využil ŠÚ SR aj údaje z administratívnych zdrojov o platiteľoch zdravotného poistenia. </w:t>
      </w:r>
    </w:p>
  </w:footnote>
  <w:footnote w:id="2">
    <w:p w:rsidR="003E3F6B" w:rsidRPr="00092719" w:rsidRDefault="003E3F6B" w:rsidP="00092719">
      <w:pPr>
        <w:spacing w:after="0" w:line="240" w:lineRule="auto"/>
        <w:jc w:val="both"/>
        <w:rPr>
          <w:rFonts w:ascii="Times New Roman" w:hAnsi="Times New Roman" w:cs="Times New Roman"/>
          <w:sz w:val="20"/>
          <w:szCs w:val="20"/>
        </w:rPr>
      </w:pPr>
      <w:r w:rsidRPr="00092719">
        <w:rPr>
          <w:rStyle w:val="Odkaznapoznmkupodiarou"/>
          <w:sz w:val="20"/>
          <w:szCs w:val="20"/>
        </w:rPr>
        <w:footnoteRef/>
      </w:r>
      <w:r w:rsidRPr="00092719">
        <w:rPr>
          <w:rFonts w:ascii="Times New Roman" w:hAnsi="Times New Roman" w:cs="Times New Roman"/>
          <w:sz w:val="20"/>
          <w:szCs w:val="20"/>
        </w:rPr>
        <w:t xml:space="preserve"> Medziročné porovnanie je spracované na základe definitívnych výsledkov štatistiky zahraničného obchodu za rok 2014 a predbežných výsledkov za rok 2015.</w:t>
      </w:r>
    </w:p>
    <w:p w:rsidR="003E3F6B" w:rsidRDefault="003E3F6B" w:rsidP="00B40111">
      <w:pPr>
        <w:pStyle w:val="Textpoznmkypodi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3F3"/>
    <w:multiLevelType w:val="hybridMultilevel"/>
    <w:tmpl w:val="2CC25E16"/>
    <w:lvl w:ilvl="0" w:tplc="BD72452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6CD22B7"/>
    <w:multiLevelType w:val="hybridMultilevel"/>
    <w:tmpl w:val="77A21138"/>
    <w:lvl w:ilvl="0" w:tplc="C2CC83EC">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nsid w:val="1AFE3AB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3E0B10"/>
    <w:multiLevelType w:val="hybridMultilevel"/>
    <w:tmpl w:val="523660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F4B2B0C"/>
    <w:multiLevelType w:val="hybridMultilevel"/>
    <w:tmpl w:val="BA026E38"/>
    <w:lvl w:ilvl="0" w:tplc="EE6A0B1E">
      <w:start w:val="1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FBB7E54"/>
    <w:multiLevelType w:val="hybridMultilevel"/>
    <w:tmpl w:val="935A480E"/>
    <w:lvl w:ilvl="0" w:tplc="BB10F6E6">
      <w:start w:val="1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249817E0"/>
    <w:multiLevelType w:val="multilevel"/>
    <w:tmpl w:val="2324948E"/>
    <w:lvl w:ilvl="0">
      <w:start w:val="1"/>
      <w:numFmt w:val="decimal"/>
      <w:lvlText w:val="%1."/>
      <w:lvlJc w:val="left"/>
      <w:pPr>
        <w:ind w:left="502" w:hanging="360"/>
      </w:pPr>
      <w:rPr>
        <w:rFonts w:hint="default"/>
        <w:sz w:val="28"/>
        <w:szCs w:val="28"/>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2B830827"/>
    <w:multiLevelType w:val="hybridMultilevel"/>
    <w:tmpl w:val="5832DF5E"/>
    <w:lvl w:ilvl="0" w:tplc="041B000F">
      <w:start w:val="1"/>
      <w:numFmt w:val="decimal"/>
      <w:lvlText w:val="%1."/>
      <w:lvlJc w:val="left"/>
      <w:pPr>
        <w:ind w:left="720" w:hanging="360"/>
      </w:pPr>
      <w:rPr>
        <w:rFonts w:hint="default"/>
      </w:rPr>
    </w:lvl>
    <w:lvl w:ilvl="1" w:tplc="28EE9EE4">
      <w:start w:val="2"/>
      <w:numFmt w:val="decimal"/>
      <w:lvlText w:val="%2.1"/>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DDC12C8"/>
    <w:multiLevelType w:val="hybridMultilevel"/>
    <w:tmpl w:val="5178B9CA"/>
    <w:lvl w:ilvl="0" w:tplc="F6DC1210">
      <w:start w:val="4"/>
      <w:numFmt w:val="bullet"/>
      <w:lvlText w:val="-"/>
      <w:lvlJc w:val="left"/>
      <w:pPr>
        <w:ind w:left="720" w:hanging="360"/>
      </w:pPr>
      <w:rPr>
        <w:rFonts w:ascii="Times New Roman" w:eastAsia="Times New Roman" w:hAnsi="Times New Roman" w:cs="Times New Roman" w:hint="default"/>
        <w:b/>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311F3496"/>
    <w:multiLevelType w:val="multilevel"/>
    <w:tmpl w:val="C5E212FC"/>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nsid w:val="34CF324E"/>
    <w:multiLevelType w:val="hybridMultilevel"/>
    <w:tmpl w:val="7370FFE2"/>
    <w:lvl w:ilvl="0" w:tplc="041B000F">
      <w:start w:val="1"/>
      <w:numFmt w:val="decimal"/>
      <w:lvlText w:val="%1."/>
      <w:lvlJc w:val="left"/>
      <w:pPr>
        <w:ind w:left="720" w:hanging="360"/>
      </w:pPr>
      <w:rPr>
        <w:rFonts w:hint="default"/>
      </w:rPr>
    </w:lvl>
    <w:lvl w:ilvl="1" w:tplc="4CB4EC74">
      <w:start w:val="1"/>
      <w:numFmt w:val="decimal"/>
      <w:lvlText w:val="%2.1"/>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3AFF1B5D"/>
    <w:multiLevelType w:val="hybridMultilevel"/>
    <w:tmpl w:val="E52E9982"/>
    <w:lvl w:ilvl="0" w:tplc="858481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3C222596"/>
    <w:multiLevelType w:val="hybridMultilevel"/>
    <w:tmpl w:val="79C87CB2"/>
    <w:lvl w:ilvl="0" w:tplc="041B000F">
      <w:start w:val="1"/>
      <w:numFmt w:val="decimal"/>
      <w:lvlText w:val="%1."/>
      <w:lvlJc w:val="left"/>
      <w:pPr>
        <w:ind w:left="1287" w:hanging="360"/>
      </w:pPr>
    </w:lvl>
    <w:lvl w:ilvl="1" w:tplc="041B0019">
      <w:start w:val="1"/>
      <w:numFmt w:val="lowerLetter"/>
      <w:lvlText w:val="%2."/>
      <w:lvlJc w:val="left"/>
      <w:pPr>
        <w:ind w:left="2007" w:hanging="360"/>
      </w:pPr>
    </w:lvl>
    <w:lvl w:ilvl="2" w:tplc="041B001B">
      <w:start w:val="1"/>
      <w:numFmt w:val="lowerRoman"/>
      <w:lvlText w:val="%3."/>
      <w:lvlJc w:val="right"/>
      <w:pPr>
        <w:ind w:left="2727" w:hanging="180"/>
      </w:pPr>
    </w:lvl>
    <w:lvl w:ilvl="3" w:tplc="041B000F">
      <w:start w:val="1"/>
      <w:numFmt w:val="decimal"/>
      <w:lvlText w:val="%4."/>
      <w:lvlJc w:val="left"/>
      <w:pPr>
        <w:ind w:left="3447" w:hanging="360"/>
      </w:pPr>
    </w:lvl>
    <w:lvl w:ilvl="4" w:tplc="041B0019">
      <w:start w:val="1"/>
      <w:numFmt w:val="lowerLetter"/>
      <w:lvlText w:val="%5."/>
      <w:lvlJc w:val="left"/>
      <w:pPr>
        <w:ind w:left="4167" w:hanging="360"/>
      </w:pPr>
    </w:lvl>
    <w:lvl w:ilvl="5" w:tplc="041B001B">
      <w:start w:val="1"/>
      <w:numFmt w:val="lowerRoman"/>
      <w:lvlText w:val="%6."/>
      <w:lvlJc w:val="right"/>
      <w:pPr>
        <w:ind w:left="4887" w:hanging="180"/>
      </w:pPr>
    </w:lvl>
    <w:lvl w:ilvl="6" w:tplc="041B000F">
      <w:start w:val="1"/>
      <w:numFmt w:val="decimal"/>
      <w:lvlText w:val="%7."/>
      <w:lvlJc w:val="left"/>
      <w:pPr>
        <w:ind w:left="5607" w:hanging="360"/>
      </w:pPr>
    </w:lvl>
    <w:lvl w:ilvl="7" w:tplc="041B0019">
      <w:start w:val="1"/>
      <w:numFmt w:val="lowerLetter"/>
      <w:lvlText w:val="%8."/>
      <w:lvlJc w:val="left"/>
      <w:pPr>
        <w:ind w:left="6327" w:hanging="360"/>
      </w:pPr>
    </w:lvl>
    <w:lvl w:ilvl="8" w:tplc="041B001B">
      <w:start w:val="1"/>
      <w:numFmt w:val="lowerRoman"/>
      <w:lvlText w:val="%9."/>
      <w:lvlJc w:val="right"/>
      <w:pPr>
        <w:ind w:left="7047" w:hanging="180"/>
      </w:pPr>
    </w:lvl>
  </w:abstractNum>
  <w:abstractNum w:abstractNumId="14">
    <w:nsid w:val="3D7167A8"/>
    <w:multiLevelType w:val="hybridMultilevel"/>
    <w:tmpl w:val="92D8F48A"/>
    <w:lvl w:ilvl="0" w:tplc="C1F67FB4">
      <w:start w:val="10"/>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
    <w:nsid w:val="471E7C3F"/>
    <w:multiLevelType w:val="hybridMultilevel"/>
    <w:tmpl w:val="EF260318"/>
    <w:lvl w:ilvl="0" w:tplc="5AF8420A">
      <w:start w:val="2"/>
      <w:numFmt w:val="decimal"/>
      <w:lvlText w:val="%1.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6">
    <w:nsid w:val="48CB525D"/>
    <w:multiLevelType w:val="multilevel"/>
    <w:tmpl w:val="91BE9BA6"/>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nsid w:val="4B5C4498"/>
    <w:multiLevelType w:val="multilevel"/>
    <w:tmpl w:val="7638D4F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nsid w:val="4D5875F1"/>
    <w:multiLevelType w:val="hybridMultilevel"/>
    <w:tmpl w:val="EE48FC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EA14155"/>
    <w:multiLevelType w:val="hybridMultilevel"/>
    <w:tmpl w:val="44CA7D52"/>
    <w:lvl w:ilvl="0" w:tplc="4CB4EC74">
      <w:start w:val="1"/>
      <w:numFmt w:val="decimal"/>
      <w:lvlText w:val="%1.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1">
    <w:nsid w:val="4F8B4E0F"/>
    <w:multiLevelType w:val="multilevel"/>
    <w:tmpl w:val="E26026A4"/>
    <w:lvl w:ilvl="0">
      <w:start w:val="1"/>
      <w:numFmt w:val="none"/>
      <w:lvlText w:val="1.2"/>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58D771B5"/>
    <w:multiLevelType w:val="hybridMultilevel"/>
    <w:tmpl w:val="D97ACE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5E9713DB"/>
    <w:multiLevelType w:val="multilevel"/>
    <w:tmpl w:val="1E52A37A"/>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616A686E"/>
    <w:multiLevelType w:val="hybridMultilevel"/>
    <w:tmpl w:val="2C3C74AE"/>
    <w:lvl w:ilvl="0" w:tplc="041B000F">
      <w:start w:val="1"/>
      <w:numFmt w:val="decimal"/>
      <w:lvlText w:val="%1."/>
      <w:lvlJc w:val="left"/>
      <w:pPr>
        <w:ind w:left="720" w:hanging="360"/>
      </w:pPr>
    </w:lvl>
    <w:lvl w:ilvl="1" w:tplc="E1BEE412">
      <w:start w:val="1"/>
      <w:numFmt w:val="decimal"/>
      <w:lvlText w:val="%2.1"/>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63FD349B"/>
    <w:multiLevelType w:val="multilevel"/>
    <w:tmpl w:val="9D065576"/>
    <w:lvl w:ilvl="0">
      <w:start w:val="1"/>
      <w:numFmt w:val="decimal"/>
      <w:lvlText w:val="%1.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nsid w:val="6405643F"/>
    <w:multiLevelType w:val="hybridMultilevel"/>
    <w:tmpl w:val="FF76EE1A"/>
    <w:lvl w:ilvl="0" w:tplc="90EE5E14">
      <w:start w:val="1"/>
      <w:numFmt w:val="bullet"/>
      <w:lvlText w:val="-"/>
      <w:lvlJc w:val="left"/>
      <w:pPr>
        <w:ind w:left="720" w:hanging="360"/>
      </w:pPr>
      <w:rPr>
        <w:rFonts w:ascii="Stencil" w:hAnsi="Stenci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656657EE"/>
    <w:multiLevelType w:val="hybridMultilevel"/>
    <w:tmpl w:val="0A0A7D96"/>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nsid w:val="66DB3E55"/>
    <w:multiLevelType w:val="hybridMultilevel"/>
    <w:tmpl w:val="0E82E7C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68C768D0"/>
    <w:multiLevelType w:val="hybridMultilevel"/>
    <w:tmpl w:val="6F326B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6F7407FC"/>
    <w:multiLevelType w:val="multilevel"/>
    <w:tmpl w:val="050E555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3055E8C"/>
    <w:multiLevelType w:val="multilevel"/>
    <w:tmpl w:val="7638D4F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5A93341"/>
    <w:multiLevelType w:val="hybridMultilevel"/>
    <w:tmpl w:val="F32CA664"/>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76266E48"/>
    <w:multiLevelType w:val="hybridMultilevel"/>
    <w:tmpl w:val="DB98FD86"/>
    <w:lvl w:ilvl="0" w:tplc="041B000F">
      <w:start w:val="1"/>
      <w:numFmt w:val="decimal"/>
      <w:lvlText w:val="%1."/>
      <w:lvlJc w:val="left"/>
      <w:pPr>
        <w:ind w:left="720" w:hanging="360"/>
      </w:pPr>
      <w:rPr>
        <w:rFonts w:hint="default"/>
      </w:rPr>
    </w:lvl>
    <w:lvl w:ilvl="1" w:tplc="4CB4EC74">
      <w:start w:val="1"/>
      <w:numFmt w:val="decimal"/>
      <w:lvlText w:val="%2.1"/>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797D0001"/>
    <w:multiLevelType w:val="singleLevel"/>
    <w:tmpl w:val="0405000F"/>
    <w:lvl w:ilvl="0">
      <w:start w:val="1"/>
      <w:numFmt w:val="decimal"/>
      <w:lvlText w:val="%1."/>
      <w:lvlJc w:val="left"/>
      <w:pPr>
        <w:tabs>
          <w:tab w:val="num" w:pos="720"/>
        </w:tabs>
        <w:ind w:left="720" w:hanging="360"/>
      </w:pPr>
    </w:lvl>
  </w:abstractNum>
  <w:abstractNum w:abstractNumId="35">
    <w:nsid w:val="7C824861"/>
    <w:multiLevelType w:val="hybridMultilevel"/>
    <w:tmpl w:val="01F0C48A"/>
    <w:lvl w:ilvl="0" w:tplc="F6DC1210">
      <w:start w:val="4"/>
      <w:numFmt w:val="bullet"/>
      <w:lvlText w:val="-"/>
      <w:lvlJc w:val="left"/>
      <w:pPr>
        <w:ind w:left="720" w:hanging="360"/>
      </w:pPr>
      <w:rPr>
        <w:rFonts w:ascii="Times New Roman" w:eastAsia="Times New Roman" w:hAnsi="Times New Roman" w:cs="Times New Roman" w:hint="default"/>
        <w:b/>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7CD12D79"/>
    <w:multiLevelType w:val="hybridMultilevel"/>
    <w:tmpl w:val="90EC228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7">
    <w:nsid w:val="7F925357"/>
    <w:multiLevelType w:val="multilevel"/>
    <w:tmpl w:val="9BE07C3A"/>
    <w:lvl w:ilvl="0">
      <w:start w:val="1"/>
      <w:numFmt w:val="decimal"/>
      <w:lvlText w:val="%1."/>
      <w:lvlJc w:val="left"/>
      <w:pPr>
        <w:tabs>
          <w:tab w:val="num" w:pos="780"/>
        </w:tabs>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4"/>
    <w:lvlOverride w:ilvl="0">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9"/>
  </w:num>
  <w:num w:numId="5">
    <w:abstractNumId w:val="21"/>
  </w:num>
  <w:num w:numId="6">
    <w:abstractNumId w:val="23"/>
  </w:num>
  <w:num w:numId="7">
    <w:abstractNumId w:val="12"/>
  </w:num>
  <w:num w:numId="8">
    <w:abstractNumId w:val="22"/>
  </w:num>
  <w:num w:numId="9">
    <w:abstractNumId w:val="15"/>
  </w:num>
  <w:num w:numId="10">
    <w:abstractNumId w:val="7"/>
  </w:num>
  <w:num w:numId="11">
    <w:abstractNumId w:val="33"/>
  </w:num>
  <w:num w:numId="12">
    <w:abstractNumId w:val="9"/>
  </w:num>
  <w:num w:numId="13">
    <w:abstractNumId w:val="28"/>
  </w:num>
  <w:num w:numId="14">
    <w:abstractNumId w:val="32"/>
  </w:num>
  <w:num w:numId="15">
    <w:abstractNumId w:val="24"/>
  </w:num>
  <w:num w:numId="16">
    <w:abstractNumId w:val="10"/>
  </w:num>
  <w:num w:numId="17">
    <w:abstractNumId w:val="17"/>
  </w:num>
  <w:num w:numId="18">
    <w:abstractNumId w:val="31"/>
  </w:num>
  <w:num w:numId="19">
    <w:abstractNumId w:val="25"/>
  </w:num>
  <w:num w:numId="20">
    <w:abstractNumId w:val="11"/>
  </w:num>
  <w:num w:numId="21">
    <w:abstractNumId w:val="1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27"/>
  </w:num>
  <w:num w:numId="26">
    <w:abstractNumId w:val="16"/>
  </w:num>
  <w:num w:numId="27">
    <w:abstractNumId w:val="3"/>
  </w:num>
  <w:num w:numId="28">
    <w:abstractNumId w:val="14"/>
  </w:num>
  <w:num w:numId="29">
    <w:abstractNumId w:val="5"/>
  </w:num>
  <w:num w:numId="30">
    <w:abstractNumId w:val="4"/>
  </w:num>
  <w:num w:numId="31">
    <w:abstractNumId w:val="30"/>
  </w:num>
  <w:num w:numId="32">
    <w:abstractNumId w:val="2"/>
  </w:num>
  <w:num w:numId="33">
    <w:abstractNumId w:val="36"/>
  </w:num>
  <w:num w:numId="34">
    <w:abstractNumId w:val="1"/>
  </w:num>
  <w:num w:numId="35">
    <w:abstractNumId w:val="1"/>
  </w:num>
  <w:num w:numId="36">
    <w:abstractNumId w:val="20"/>
  </w:num>
  <w:num w:numId="37">
    <w:abstractNumId w:val="29"/>
  </w:num>
  <w:num w:numId="38">
    <w:abstractNumId w:val="26"/>
  </w:num>
  <w:num w:numId="39">
    <w:abstractNumId w:val="35"/>
  </w:num>
  <w:num w:numId="40">
    <w:abstractNumId w:val="8"/>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13553"/>
    <w:rsid w:val="000143E4"/>
    <w:rsid w:val="00014BFE"/>
    <w:rsid w:val="00020C9B"/>
    <w:rsid w:val="00021D5B"/>
    <w:rsid w:val="0003124C"/>
    <w:rsid w:val="00031B49"/>
    <w:rsid w:val="0003443C"/>
    <w:rsid w:val="000564D1"/>
    <w:rsid w:val="00063524"/>
    <w:rsid w:val="00072531"/>
    <w:rsid w:val="00092719"/>
    <w:rsid w:val="000A36ED"/>
    <w:rsid w:val="000C7B31"/>
    <w:rsid w:val="000D20A7"/>
    <w:rsid w:val="000D52B8"/>
    <w:rsid w:val="000E178B"/>
    <w:rsid w:val="000F6FCC"/>
    <w:rsid w:val="00120456"/>
    <w:rsid w:val="00127A5A"/>
    <w:rsid w:val="00131903"/>
    <w:rsid w:val="001343D5"/>
    <w:rsid w:val="001447F3"/>
    <w:rsid w:val="001476D3"/>
    <w:rsid w:val="00147EB4"/>
    <w:rsid w:val="0015049B"/>
    <w:rsid w:val="00150629"/>
    <w:rsid w:val="001639A4"/>
    <w:rsid w:val="00167A7E"/>
    <w:rsid w:val="00176217"/>
    <w:rsid w:val="001B1381"/>
    <w:rsid w:val="001C0640"/>
    <w:rsid w:val="001C1B67"/>
    <w:rsid w:val="001C52C2"/>
    <w:rsid w:val="001E5538"/>
    <w:rsid w:val="001F29CF"/>
    <w:rsid w:val="001F4C8C"/>
    <w:rsid w:val="00211B4E"/>
    <w:rsid w:val="00212737"/>
    <w:rsid w:val="002229ED"/>
    <w:rsid w:val="002233EF"/>
    <w:rsid w:val="00225F65"/>
    <w:rsid w:val="00227FA6"/>
    <w:rsid w:val="0023470B"/>
    <w:rsid w:val="00242F18"/>
    <w:rsid w:val="00245125"/>
    <w:rsid w:val="002553B7"/>
    <w:rsid w:val="00257360"/>
    <w:rsid w:val="00264966"/>
    <w:rsid w:val="002850A6"/>
    <w:rsid w:val="00293BB5"/>
    <w:rsid w:val="002B2527"/>
    <w:rsid w:val="002C3B84"/>
    <w:rsid w:val="002C6A1C"/>
    <w:rsid w:val="003044A1"/>
    <w:rsid w:val="00313C0E"/>
    <w:rsid w:val="0031784A"/>
    <w:rsid w:val="00323457"/>
    <w:rsid w:val="00325440"/>
    <w:rsid w:val="00332F9E"/>
    <w:rsid w:val="003514E1"/>
    <w:rsid w:val="003574EC"/>
    <w:rsid w:val="003616F7"/>
    <w:rsid w:val="00363DB6"/>
    <w:rsid w:val="00371960"/>
    <w:rsid w:val="00377D2B"/>
    <w:rsid w:val="00384A5D"/>
    <w:rsid w:val="00390A14"/>
    <w:rsid w:val="003A6908"/>
    <w:rsid w:val="003B04CC"/>
    <w:rsid w:val="003C2504"/>
    <w:rsid w:val="003D3830"/>
    <w:rsid w:val="003D4546"/>
    <w:rsid w:val="003E3F6B"/>
    <w:rsid w:val="003E5B09"/>
    <w:rsid w:val="003F1AD8"/>
    <w:rsid w:val="003F1B0A"/>
    <w:rsid w:val="00403A05"/>
    <w:rsid w:val="0041626E"/>
    <w:rsid w:val="0044050C"/>
    <w:rsid w:val="00455EDD"/>
    <w:rsid w:val="004614EC"/>
    <w:rsid w:val="0046533A"/>
    <w:rsid w:val="00465B54"/>
    <w:rsid w:val="0047218F"/>
    <w:rsid w:val="00473FB5"/>
    <w:rsid w:val="0047505C"/>
    <w:rsid w:val="00482620"/>
    <w:rsid w:val="00485F63"/>
    <w:rsid w:val="0049004D"/>
    <w:rsid w:val="004941C2"/>
    <w:rsid w:val="004959BD"/>
    <w:rsid w:val="004A052F"/>
    <w:rsid w:val="004A4BCD"/>
    <w:rsid w:val="004B1335"/>
    <w:rsid w:val="004B23A0"/>
    <w:rsid w:val="004B3D30"/>
    <w:rsid w:val="004C4414"/>
    <w:rsid w:val="004C59A1"/>
    <w:rsid w:val="004E5554"/>
    <w:rsid w:val="004E7C99"/>
    <w:rsid w:val="005001E7"/>
    <w:rsid w:val="00515602"/>
    <w:rsid w:val="00532672"/>
    <w:rsid w:val="00534C79"/>
    <w:rsid w:val="00535648"/>
    <w:rsid w:val="00543FC2"/>
    <w:rsid w:val="00544F7F"/>
    <w:rsid w:val="005532A7"/>
    <w:rsid w:val="005603C7"/>
    <w:rsid w:val="00563DF8"/>
    <w:rsid w:val="00580007"/>
    <w:rsid w:val="00584DC8"/>
    <w:rsid w:val="0059048B"/>
    <w:rsid w:val="005928FC"/>
    <w:rsid w:val="005936A1"/>
    <w:rsid w:val="005B0061"/>
    <w:rsid w:val="005B5766"/>
    <w:rsid w:val="005B5A1D"/>
    <w:rsid w:val="005D27A7"/>
    <w:rsid w:val="005D3368"/>
    <w:rsid w:val="005D574E"/>
    <w:rsid w:val="005D5E86"/>
    <w:rsid w:val="005E671B"/>
    <w:rsid w:val="005F1E38"/>
    <w:rsid w:val="005F2B87"/>
    <w:rsid w:val="005F394E"/>
    <w:rsid w:val="00603CDC"/>
    <w:rsid w:val="0060470D"/>
    <w:rsid w:val="006060F0"/>
    <w:rsid w:val="00610FD1"/>
    <w:rsid w:val="006111F5"/>
    <w:rsid w:val="00617043"/>
    <w:rsid w:val="0062015D"/>
    <w:rsid w:val="0062077F"/>
    <w:rsid w:val="00627C9F"/>
    <w:rsid w:val="006301E3"/>
    <w:rsid w:val="00632C61"/>
    <w:rsid w:val="00636517"/>
    <w:rsid w:val="006400DC"/>
    <w:rsid w:val="006571B6"/>
    <w:rsid w:val="0066211D"/>
    <w:rsid w:val="00670D37"/>
    <w:rsid w:val="00671B9A"/>
    <w:rsid w:val="00682FA7"/>
    <w:rsid w:val="0068533A"/>
    <w:rsid w:val="00690E21"/>
    <w:rsid w:val="006A19D4"/>
    <w:rsid w:val="006A6054"/>
    <w:rsid w:val="006D02D1"/>
    <w:rsid w:val="006E4DD5"/>
    <w:rsid w:val="006E5A38"/>
    <w:rsid w:val="006F6056"/>
    <w:rsid w:val="00702C76"/>
    <w:rsid w:val="00706A0C"/>
    <w:rsid w:val="0071082B"/>
    <w:rsid w:val="0071615A"/>
    <w:rsid w:val="007406BE"/>
    <w:rsid w:val="00747029"/>
    <w:rsid w:val="007504AE"/>
    <w:rsid w:val="00754613"/>
    <w:rsid w:val="00754FA4"/>
    <w:rsid w:val="007701BD"/>
    <w:rsid w:val="00796A39"/>
    <w:rsid w:val="007A3141"/>
    <w:rsid w:val="007A3417"/>
    <w:rsid w:val="007B0FCB"/>
    <w:rsid w:val="007B6AAF"/>
    <w:rsid w:val="007C30C2"/>
    <w:rsid w:val="007D251C"/>
    <w:rsid w:val="007E014C"/>
    <w:rsid w:val="007F3E08"/>
    <w:rsid w:val="00803045"/>
    <w:rsid w:val="00804E7E"/>
    <w:rsid w:val="00807645"/>
    <w:rsid w:val="008109F5"/>
    <w:rsid w:val="00813133"/>
    <w:rsid w:val="00815668"/>
    <w:rsid w:val="00822962"/>
    <w:rsid w:val="00826E8B"/>
    <w:rsid w:val="00833702"/>
    <w:rsid w:val="0083596F"/>
    <w:rsid w:val="0083692A"/>
    <w:rsid w:val="008370C8"/>
    <w:rsid w:val="00850363"/>
    <w:rsid w:val="00852667"/>
    <w:rsid w:val="00856FD0"/>
    <w:rsid w:val="00857889"/>
    <w:rsid w:val="00871D41"/>
    <w:rsid w:val="008779F0"/>
    <w:rsid w:val="00895AD7"/>
    <w:rsid w:val="0089671B"/>
    <w:rsid w:val="008A45C3"/>
    <w:rsid w:val="008B2BD0"/>
    <w:rsid w:val="008B4C87"/>
    <w:rsid w:val="008B6F70"/>
    <w:rsid w:val="008D0B5C"/>
    <w:rsid w:val="008F6FBD"/>
    <w:rsid w:val="009079F1"/>
    <w:rsid w:val="00931C42"/>
    <w:rsid w:val="00935F2A"/>
    <w:rsid w:val="00937261"/>
    <w:rsid w:val="00937E43"/>
    <w:rsid w:val="00941B0B"/>
    <w:rsid w:val="00943524"/>
    <w:rsid w:val="00947799"/>
    <w:rsid w:val="00967C96"/>
    <w:rsid w:val="00970BF6"/>
    <w:rsid w:val="00970CBB"/>
    <w:rsid w:val="00970E2B"/>
    <w:rsid w:val="009842A6"/>
    <w:rsid w:val="00984895"/>
    <w:rsid w:val="00985047"/>
    <w:rsid w:val="009D2F8D"/>
    <w:rsid w:val="009D4D8C"/>
    <w:rsid w:val="009D623D"/>
    <w:rsid w:val="009E101F"/>
    <w:rsid w:val="009E1E12"/>
    <w:rsid w:val="009E49FC"/>
    <w:rsid w:val="009E73AD"/>
    <w:rsid w:val="00A15551"/>
    <w:rsid w:val="00A1677A"/>
    <w:rsid w:val="00A20D8C"/>
    <w:rsid w:val="00A21910"/>
    <w:rsid w:val="00A3111F"/>
    <w:rsid w:val="00A31188"/>
    <w:rsid w:val="00A352A5"/>
    <w:rsid w:val="00A55910"/>
    <w:rsid w:val="00A57999"/>
    <w:rsid w:val="00A65B37"/>
    <w:rsid w:val="00A8303A"/>
    <w:rsid w:val="00A86B70"/>
    <w:rsid w:val="00A93725"/>
    <w:rsid w:val="00AA588F"/>
    <w:rsid w:val="00AB0417"/>
    <w:rsid w:val="00AB74E4"/>
    <w:rsid w:val="00AC5BC6"/>
    <w:rsid w:val="00AD3516"/>
    <w:rsid w:val="00AD7228"/>
    <w:rsid w:val="00AD75E2"/>
    <w:rsid w:val="00AE3733"/>
    <w:rsid w:val="00B06A90"/>
    <w:rsid w:val="00B1027B"/>
    <w:rsid w:val="00B12492"/>
    <w:rsid w:val="00B22699"/>
    <w:rsid w:val="00B40111"/>
    <w:rsid w:val="00B61992"/>
    <w:rsid w:val="00B63A48"/>
    <w:rsid w:val="00B64844"/>
    <w:rsid w:val="00B76D7D"/>
    <w:rsid w:val="00B81379"/>
    <w:rsid w:val="00B81632"/>
    <w:rsid w:val="00B822EB"/>
    <w:rsid w:val="00BA2358"/>
    <w:rsid w:val="00BA29CF"/>
    <w:rsid w:val="00BA56D7"/>
    <w:rsid w:val="00BA6C1D"/>
    <w:rsid w:val="00BB02B0"/>
    <w:rsid w:val="00BB28AE"/>
    <w:rsid w:val="00BB5BE0"/>
    <w:rsid w:val="00BC3BB7"/>
    <w:rsid w:val="00BC4392"/>
    <w:rsid w:val="00BC4942"/>
    <w:rsid w:val="00BD3E33"/>
    <w:rsid w:val="00BE4BB3"/>
    <w:rsid w:val="00BE6A0B"/>
    <w:rsid w:val="00BF3B51"/>
    <w:rsid w:val="00BF6015"/>
    <w:rsid w:val="00BF789B"/>
    <w:rsid w:val="00C03D0C"/>
    <w:rsid w:val="00C13644"/>
    <w:rsid w:val="00C16FC7"/>
    <w:rsid w:val="00C300CA"/>
    <w:rsid w:val="00C33BC2"/>
    <w:rsid w:val="00C55B02"/>
    <w:rsid w:val="00C664FB"/>
    <w:rsid w:val="00C67ABD"/>
    <w:rsid w:val="00C73D24"/>
    <w:rsid w:val="00C76850"/>
    <w:rsid w:val="00CA00DC"/>
    <w:rsid w:val="00CA02B2"/>
    <w:rsid w:val="00CA2B3F"/>
    <w:rsid w:val="00CF3C2A"/>
    <w:rsid w:val="00CF51F8"/>
    <w:rsid w:val="00D071C6"/>
    <w:rsid w:val="00D101C2"/>
    <w:rsid w:val="00D121F0"/>
    <w:rsid w:val="00D22EEC"/>
    <w:rsid w:val="00D26895"/>
    <w:rsid w:val="00D2712C"/>
    <w:rsid w:val="00D27369"/>
    <w:rsid w:val="00D31F7A"/>
    <w:rsid w:val="00D3694E"/>
    <w:rsid w:val="00D4340A"/>
    <w:rsid w:val="00D539EB"/>
    <w:rsid w:val="00D565B0"/>
    <w:rsid w:val="00D61AE3"/>
    <w:rsid w:val="00D62529"/>
    <w:rsid w:val="00D62E04"/>
    <w:rsid w:val="00D634EB"/>
    <w:rsid w:val="00D64127"/>
    <w:rsid w:val="00D65CC9"/>
    <w:rsid w:val="00D72C96"/>
    <w:rsid w:val="00D8367E"/>
    <w:rsid w:val="00D912C6"/>
    <w:rsid w:val="00D96240"/>
    <w:rsid w:val="00DB18DB"/>
    <w:rsid w:val="00DB4855"/>
    <w:rsid w:val="00DB6DFE"/>
    <w:rsid w:val="00DD2FF3"/>
    <w:rsid w:val="00DD5E00"/>
    <w:rsid w:val="00DD5FFD"/>
    <w:rsid w:val="00DE50B7"/>
    <w:rsid w:val="00DF5414"/>
    <w:rsid w:val="00E22FBF"/>
    <w:rsid w:val="00E2336A"/>
    <w:rsid w:val="00E23690"/>
    <w:rsid w:val="00E35C4F"/>
    <w:rsid w:val="00E36422"/>
    <w:rsid w:val="00E4509F"/>
    <w:rsid w:val="00E61F4F"/>
    <w:rsid w:val="00E772E0"/>
    <w:rsid w:val="00E806B7"/>
    <w:rsid w:val="00E84387"/>
    <w:rsid w:val="00EA19CD"/>
    <w:rsid w:val="00EA55A5"/>
    <w:rsid w:val="00EA77E8"/>
    <w:rsid w:val="00EB0F99"/>
    <w:rsid w:val="00EB6DFB"/>
    <w:rsid w:val="00EC1A14"/>
    <w:rsid w:val="00EC2445"/>
    <w:rsid w:val="00EC39E2"/>
    <w:rsid w:val="00ED0902"/>
    <w:rsid w:val="00ED23A8"/>
    <w:rsid w:val="00ED5D61"/>
    <w:rsid w:val="00ED7A11"/>
    <w:rsid w:val="00EE16F3"/>
    <w:rsid w:val="00EE4523"/>
    <w:rsid w:val="00EF048C"/>
    <w:rsid w:val="00EF0A03"/>
    <w:rsid w:val="00EF3D79"/>
    <w:rsid w:val="00EF61E0"/>
    <w:rsid w:val="00F07E3C"/>
    <w:rsid w:val="00F332C2"/>
    <w:rsid w:val="00F33D9B"/>
    <w:rsid w:val="00F37CA8"/>
    <w:rsid w:val="00F47AD9"/>
    <w:rsid w:val="00F50DD5"/>
    <w:rsid w:val="00F6798B"/>
    <w:rsid w:val="00F7199A"/>
    <w:rsid w:val="00F80ED2"/>
    <w:rsid w:val="00F82A9E"/>
    <w:rsid w:val="00F84D47"/>
    <w:rsid w:val="00F913D3"/>
    <w:rsid w:val="00F943EB"/>
    <w:rsid w:val="00FA175C"/>
    <w:rsid w:val="00FB1089"/>
    <w:rsid w:val="00FC2AA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basedOn w:val="Normlny"/>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basedOn w:val="Normlny"/>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image" Target="media/image1.png"/><Relationship Id="rId39" Type="http://schemas.openxmlformats.org/officeDocument/2006/relationships/footer" Target="footer2.xml"/><Relationship Id="rId21" Type="http://schemas.openxmlformats.org/officeDocument/2006/relationships/chart" Target="charts/chart11.xml"/><Relationship Id="rId34" Type="http://schemas.openxmlformats.org/officeDocument/2006/relationships/hyperlink" Target="http://www.economy.gov.sk/ext_dok-plan-prace-vlady---konzultacie/147964c?ext=orig%20"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chart" Target="charts/chart6.xml"/><Relationship Id="rId29" Type="http://schemas.openxmlformats.org/officeDocument/2006/relationships/hyperlink" Target="http://www.statistics.sk/pls/elisw/vb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hyperlink" Target="http://www.economy.gov.sk/index/index.php?not_commited=1&amp;" TargetMode="External"/><Relationship Id="rId37" Type="http://schemas.openxmlformats.org/officeDocument/2006/relationships/image" Target="media/image3.png"/><Relationship Id="rId40" Type="http://schemas.openxmlformats.org/officeDocument/2006/relationships/footer" Target="footer3.xml"/><Relationship Id="rId45" Type="http://schemas.openxmlformats.org/officeDocument/2006/relationships/customXml" Target="../customXml/item5.xml"/><Relationship Id="rId5" Type="http://schemas.microsoft.com/office/2007/relationships/stylesWithEffects" Target="stylesWithEffect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7.xml"/><Relationship Id="rId36" Type="http://schemas.openxmlformats.org/officeDocument/2006/relationships/hyperlink" Target="http://www.economy.gov.sk/index/index.php?not_commited=1&amp;" TargetMode="External"/><Relationship Id="rId10" Type="http://schemas.openxmlformats.org/officeDocument/2006/relationships/footer" Target="footer1.xml"/><Relationship Id="rId19" Type="http://schemas.openxmlformats.org/officeDocument/2006/relationships/chart" Target="charts/chart9.xml"/><Relationship Id="rId31" Type="http://schemas.openxmlformats.org/officeDocument/2006/relationships/image" Target="media/image2.png"/><Relationship Id="rId44"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6.xml"/><Relationship Id="rId30" Type="http://schemas.openxmlformats.org/officeDocument/2006/relationships/hyperlink" Target="http://www.doingbusiness.org/reports/global-reports/doing-business-2017" TargetMode="External"/><Relationship Id="rId35" Type="http://schemas.openxmlformats.org/officeDocument/2006/relationships/hyperlink" Target="http://www.economy.gov.sk/index/index.php?not_commited=1&amp;" TargetMode="External"/><Relationship Id="rId43" Type="http://schemas.openxmlformats.org/officeDocument/2006/relationships/customXml" Target="../customXml/item3.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hyperlink" Target="http://www.economy.gov.sk/ext_dok-zoznam-legislativnych-uloh---konzultacie/147895c" TargetMode="External"/><Relationship Id="rId38" Type="http://schemas.openxmlformats.org/officeDocument/2006/relationships/chart" Target="charts/chart18.xml"/><Relationship Id="rId46" Type="http://schemas.openxmlformats.org/officeDocument/2006/relationships/customXml" Target="../customXml/item6.xml"/><Relationship Id="rId20" Type="http://schemas.openxmlformats.org/officeDocument/2006/relationships/chart" Target="charts/chart10.xml"/><Relationship Id="rId41"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klak1.mh.sk\utvar3420\1111\2016\Material%20PV\Sprava%20o%20PP%20-%20vybrane%20casti_podklady\Grafy.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klak1.mh.sk\utvar3420\2016_06_OPP\Spr&#225;va%20o%20PP\tabulka_sprava%20o%20PP_skolstvo.xlsx" TargetMode="External"/><Relationship Id="rId1" Type="http://schemas.openxmlformats.org/officeDocument/2006/relationships/themeOverride" Target="../theme/themeOverride6.xml"/></Relationships>
</file>

<file path=word/charts/_rels/chart11.xml.rels><?xml version="1.0" encoding="UTF-8" standalone="yes"?>
<Relationships xmlns="http://schemas.openxmlformats.org/package/2006/relationships"><Relationship Id="rId2" Type="http://schemas.openxmlformats.org/officeDocument/2006/relationships/oleObject" Target="file:///\\klak1.mh.sk\utvar3420\2016_06_OPP\Spr&#225;va%20o%20PP\tabulka_sprava%20o%20PP_skolstvo.xlsx" TargetMode="External"/><Relationship Id="rId1" Type="http://schemas.openxmlformats.org/officeDocument/2006/relationships/themeOverride" Target="../theme/themeOverride7.xml"/></Relationships>
</file>

<file path=word/charts/_rels/chart12.xml.rels><?xml version="1.0" encoding="UTF-8" standalone="yes"?>
<Relationships xmlns="http://schemas.openxmlformats.org/package/2006/relationships"><Relationship Id="rId1" Type="http://schemas.openxmlformats.org/officeDocument/2006/relationships/oleObject" Target="file:///\\klak1.mh.sk\utvar3420\2016_06_OPP\Spr&#225;va%20o%20PP\Predchadzajuce%20casti\tabulka_sprava%20o%20PP_skolstvo.xlsx" TargetMode="External"/></Relationships>
</file>

<file path=word/charts/_rels/chart13.xml.rels><?xml version="1.0" encoding="UTF-8" standalone="yes"?>
<Relationships xmlns="http://schemas.openxmlformats.org/package/2006/relationships"><Relationship Id="rId2" Type="http://schemas.openxmlformats.org/officeDocument/2006/relationships/oleObject" Target="file:///\\klak1.mh.sk\utvar3420\2016_06_OPP\Spr&#225;va%20o%20PP\tabulka_sprava%20o%20PP_skolstvo.xlsx" TargetMode="External"/><Relationship Id="rId1" Type="http://schemas.openxmlformats.org/officeDocument/2006/relationships/themeOverride" Target="../theme/themeOverride8.xml"/></Relationships>
</file>

<file path=word/charts/_rels/chart14.xml.rels><?xml version="1.0" encoding="UTF-8" standalone="yes"?>
<Relationships xmlns="http://schemas.openxmlformats.org/package/2006/relationships"><Relationship Id="rId2" Type="http://schemas.openxmlformats.org/officeDocument/2006/relationships/oleObject" Target="file:///\\klak1.mh.sk\utvar3420\2016_06_OPP\Spr&#225;va%20o%20PP\tabulka_sprava%20o%20PP_skolstvo.xlsx" TargetMode="External"/><Relationship Id="rId1" Type="http://schemas.openxmlformats.org/officeDocument/2006/relationships/themeOverride" Target="../theme/themeOverride9.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10.xml"/></Relationships>
</file>

<file path=word/charts/_rels/chart16.xml.rels><?xml version="1.0" encoding="UTF-8" standalone="yes"?>
<Relationships xmlns="http://schemas.openxmlformats.org/package/2006/relationships"><Relationship Id="rId2" Type="http://schemas.openxmlformats.org/officeDocument/2006/relationships/oleObject" Target="Zo&#353;it1" TargetMode="External"/><Relationship Id="rId1" Type="http://schemas.openxmlformats.org/officeDocument/2006/relationships/themeOverride" Target="../theme/themeOverride11.xml"/></Relationships>
</file>

<file path=word/charts/_rels/chart17.xml.rels><?xml version="1.0" encoding="UTF-8" standalone="yes"?>
<Relationships xmlns="http://schemas.openxmlformats.org/package/2006/relationships"><Relationship Id="rId2" Type="http://schemas.openxmlformats.org/officeDocument/2006/relationships/oleObject" Target="Zo&#353;it1" TargetMode="External"/><Relationship Id="rId1" Type="http://schemas.openxmlformats.org/officeDocument/2006/relationships/themeOverride" Target="../theme/themeOverride12.xml"/></Relationships>
</file>

<file path=word/charts/_rels/chart18.xml.rels><?xml version="1.0" encoding="UTF-8" standalone="yes"?>
<Relationships xmlns="http://schemas.openxmlformats.org/package/2006/relationships"><Relationship Id="rId1" Type="http://schemas.openxmlformats.org/officeDocument/2006/relationships/oleObject" Target="file:///C:\Users\smida\Documents\Smida\Spr&#225;va%20o%20stave%20MSP\Princ&#237;p%206\Struktura_financovania_MSP%202014-15_v240816.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karas\Documents\Documents\Dakar\&#352;tatistika%202015\SR%20-%20Elektrina%20priemysel%202007-2016.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karas\Documents\Documents\Dakar\&#352;tatistika%202015\SR%20-%20Plyn%20priemysel%202007-2016.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karas\Documents\Documents\Dakar\&#352;tatistika%202016\Elektrina%202015%20vr&#225;tane%20dan&#237;%20a%20poplatkov.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karas\Documents\Documents\Dakar\&#352;tatistika%202016\Plyn%20podnikatelia%202015%20vr&#225;tane%20dan&#237;%20a%20poplatkov.xls" TargetMode="External"/></Relationships>
</file>

<file path=word/charts/_rels/chart8.xml.rels><?xml version="1.0" encoding="UTF-8" standalone="yes"?>
<Relationships xmlns="http://schemas.openxmlformats.org/package/2006/relationships"><Relationship Id="rId2" Type="http://schemas.openxmlformats.org/officeDocument/2006/relationships/oleObject" Target="file:///\\klak1.mh.sk\utvar3420\1111\2016\Material%20PV\Sprava%20o%20PP%20-%20vybrane%20casti_podklady\Grafy.xlsx" TargetMode="External"/><Relationship Id="rId1" Type="http://schemas.openxmlformats.org/officeDocument/2006/relationships/themeOverride" Target="../theme/themeOverride4.xml"/></Relationships>
</file>

<file path=word/charts/_rels/chart9.xml.rels><?xml version="1.0" encoding="UTF-8" standalone="yes"?>
<Relationships xmlns="http://schemas.openxmlformats.org/package/2006/relationships"><Relationship Id="rId2" Type="http://schemas.openxmlformats.org/officeDocument/2006/relationships/oleObject" Target="file:///\\klak1.mh.sk\utvar3420\2016_06_OPP\Spr&#225;va%20o%20PP\tabulka_sprava%20o%20PP_skolstvo.xlsx" TargetMode="External"/><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400" baseline="0">
                <a:latin typeface="Times New Roman" pitchFamily="18" charset="0"/>
                <a:cs typeface="Times New Roman" pitchFamily="18" charset="0"/>
              </a:defRPr>
            </a:pPr>
            <a:r>
              <a:rPr lang="en-US" sz="1400" baseline="0">
                <a:latin typeface="Times New Roman" pitchFamily="18" charset="0"/>
                <a:cs typeface="Times New Roman" pitchFamily="18" charset="0"/>
              </a:rPr>
              <a:t>Ras</a:t>
            </a:r>
            <a:r>
              <a:rPr lang="sk-SK" sz="1400" baseline="0">
                <a:latin typeface="Times New Roman" pitchFamily="18" charset="0"/>
                <a:cs typeface="Times New Roman" pitchFamily="18" charset="0"/>
              </a:rPr>
              <a:t>t HDP - % podiel</a:t>
            </a:r>
            <a:endParaRPr lang="en-US" sz="1400" baseline="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'HDP 2007-2015'!$C$6:$K$6</c:f>
              <c:strCache>
                <c:ptCount val="1"/>
                <c:pt idx="0">
                  <c:v>10,8 5,7 -5,5 5,1 2,8 1,5 1,4 2,5 3,6</c:v>
                </c:pt>
              </c:strCache>
            </c:strRef>
          </c:tx>
          <c:marker>
            <c:symbol val="none"/>
          </c:marker>
          <c:cat>
            <c:numRef>
              <c:f>'HDP 2007-2015'!$C$3:$L$3</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'HDP 2007-2015'!$C$6:$K$6</c:f>
              <c:numCache>
                <c:formatCode>General</c:formatCode>
                <c:ptCount val="9"/>
                <c:pt idx="0">
                  <c:v>10.8</c:v>
                </c:pt>
                <c:pt idx="1">
                  <c:v>5.7</c:v>
                </c:pt>
                <c:pt idx="2">
                  <c:v>-5.5</c:v>
                </c:pt>
                <c:pt idx="3">
                  <c:v>5.0999999999999996</c:v>
                </c:pt>
                <c:pt idx="4">
                  <c:v>2.8</c:v>
                </c:pt>
                <c:pt idx="5">
                  <c:v>1.5</c:v>
                </c:pt>
                <c:pt idx="6">
                  <c:v>1.4</c:v>
                </c:pt>
                <c:pt idx="7">
                  <c:v>2.5</c:v>
                </c:pt>
                <c:pt idx="8">
                  <c:v>3.6</c:v>
                </c:pt>
              </c:numCache>
            </c:numRef>
          </c:val>
          <c:smooth val="0"/>
          <c:extLst xmlns:c16r2="http://schemas.microsoft.com/office/drawing/2015/06/chart">
            <c:ext xmlns:c16="http://schemas.microsoft.com/office/drawing/2014/chart" uri="{C3380CC4-5D6E-409C-BE32-E72D297353CC}">
              <c16:uniqueId val="{00000000-0867-4377-AE02-4E633D27B86B}"/>
            </c:ext>
          </c:extLst>
        </c:ser>
        <c:dLbls>
          <c:showLegendKey val="0"/>
          <c:showVal val="0"/>
          <c:showCatName val="0"/>
          <c:showSerName val="0"/>
          <c:showPercent val="0"/>
          <c:showBubbleSize val="0"/>
        </c:dLbls>
        <c:marker val="1"/>
        <c:smooth val="0"/>
        <c:axId val="24917888"/>
        <c:axId val="25873024"/>
      </c:lineChart>
      <c:catAx>
        <c:axId val="24917888"/>
        <c:scaling>
          <c:orientation val="minMax"/>
        </c:scaling>
        <c:delete val="0"/>
        <c:axPos val="b"/>
        <c:numFmt formatCode="General" sourceLinked="1"/>
        <c:majorTickMark val="out"/>
        <c:minorTickMark val="none"/>
        <c:tickLblPos val="nextTo"/>
        <c:txPr>
          <a:bodyPr/>
          <a:lstStyle/>
          <a:p>
            <a:pPr>
              <a:defRPr sz="1200" baseline="0">
                <a:latin typeface="Times New Roman" panose="02020603050405020304" pitchFamily="18" charset="0"/>
                <a:cs typeface="Times New Roman" panose="02020603050405020304" pitchFamily="18" charset="0"/>
              </a:defRPr>
            </a:pPr>
            <a:endParaRPr lang="sk-SK"/>
          </a:p>
        </c:txPr>
        <c:crossAx val="25873024"/>
        <c:crosses val="autoZero"/>
        <c:auto val="1"/>
        <c:lblAlgn val="ctr"/>
        <c:lblOffset val="100"/>
        <c:noMultiLvlLbl val="0"/>
      </c:catAx>
      <c:valAx>
        <c:axId val="25873024"/>
        <c:scaling>
          <c:orientation val="minMax"/>
        </c:scaling>
        <c:delete val="0"/>
        <c:axPos val="l"/>
        <c:majorGridlines/>
        <c:numFmt formatCode="General" sourceLinked="1"/>
        <c:majorTickMark val="out"/>
        <c:minorTickMark val="none"/>
        <c:tickLblPos val="nextTo"/>
        <c:txPr>
          <a:bodyPr/>
          <a:lstStyle/>
          <a:p>
            <a:pPr>
              <a:defRPr sz="1200" baseline="0">
                <a:latin typeface="Times New Roman" panose="02020603050405020304" pitchFamily="18" charset="0"/>
                <a:cs typeface="Times New Roman" panose="02020603050405020304" pitchFamily="18" charset="0"/>
              </a:defRPr>
            </a:pPr>
            <a:endParaRPr lang="sk-SK"/>
          </a:p>
        </c:txPr>
        <c:crossAx val="24917888"/>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3334307593984409E-2"/>
          <c:y val="6.2308382932056594E-2"/>
          <c:w val="0.87702971254851148"/>
          <c:h val="0.72367707597357378"/>
        </c:manualLayout>
      </c:layout>
      <c:barChart>
        <c:barDir val="col"/>
        <c:grouping val="clustered"/>
        <c:varyColors val="0"/>
        <c:ser>
          <c:idx val="0"/>
          <c:order val="0"/>
          <c:invertIfNegative val="0"/>
          <c:cat>
            <c:numRef>
              <c:f>Hárok2!$A$7:$A$16</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Hárok2!$J$7:$J$16</c:f>
              <c:numCache>
                <c:formatCode>0.00%</c:formatCode>
                <c:ptCount val="10"/>
                <c:pt idx="0">
                  <c:v>0.37186562106689913</c:v>
                </c:pt>
                <c:pt idx="1">
                  <c:v>0.39691067830758919</c:v>
                </c:pt>
                <c:pt idx="2">
                  <c:v>0.40013003901170341</c:v>
                </c:pt>
                <c:pt idx="3">
                  <c:v>0.4033078880407126</c:v>
                </c:pt>
                <c:pt idx="4">
                  <c:v>0.40645962732919266</c:v>
                </c:pt>
                <c:pt idx="5">
                  <c:v>0.40983009708737872</c:v>
                </c:pt>
                <c:pt idx="6">
                  <c:v>0.4102564102564103</c:v>
                </c:pt>
                <c:pt idx="7">
                  <c:v>0.40509032517061433</c:v>
                </c:pt>
                <c:pt idx="8">
                  <c:v>0.44603524229074881</c:v>
                </c:pt>
                <c:pt idx="9">
                  <c:v>0.46276595744680843</c:v>
                </c:pt>
              </c:numCache>
            </c:numRef>
          </c:val>
          <c:extLst xmlns:c16r2="http://schemas.microsoft.com/office/drawing/2015/06/chart">
            <c:ext xmlns:c16="http://schemas.microsoft.com/office/drawing/2014/chart" uri="{C3380CC4-5D6E-409C-BE32-E72D297353CC}">
              <c16:uniqueId val="{00000000-1864-49B5-9700-4D6BEFCDB68F}"/>
            </c:ext>
          </c:extLst>
        </c:ser>
        <c:dLbls>
          <c:showLegendKey val="0"/>
          <c:showVal val="0"/>
          <c:showCatName val="0"/>
          <c:showSerName val="0"/>
          <c:showPercent val="0"/>
          <c:showBubbleSize val="0"/>
        </c:dLbls>
        <c:gapWidth val="150"/>
        <c:axId val="24606208"/>
        <c:axId val="24607744"/>
      </c:barChart>
      <c:catAx>
        <c:axId val="24606208"/>
        <c:scaling>
          <c:orientation val="minMax"/>
        </c:scaling>
        <c:delete val="0"/>
        <c:axPos val="b"/>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607744"/>
        <c:crosses val="autoZero"/>
        <c:auto val="1"/>
        <c:lblAlgn val="ctr"/>
        <c:lblOffset val="100"/>
        <c:noMultiLvlLbl val="0"/>
      </c:catAx>
      <c:valAx>
        <c:axId val="24607744"/>
        <c:scaling>
          <c:orientation val="minMax"/>
        </c:scaling>
        <c:delete val="0"/>
        <c:axPos val="l"/>
        <c:majorGridlines/>
        <c:numFmt formatCode="0%"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606208"/>
        <c:crosses val="autoZero"/>
        <c:crossBetween val="between"/>
      </c:valAx>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297141756363026"/>
          <c:y val="5.1401869158878497E-2"/>
          <c:w val="0.874602486615779"/>
          <c:h val="0.8387147692986977"/>
        </c:manualLayout>
      </c:layout>
      <c:barChart>
        <c:barDir val="col"/>
        <c:grouping val="clustered"/>
        <c:varyColors val="0"/>
        <c:ser>
          <c:idx val="0"/>
          <c:order val="0"/>
          <c:tx>
            <c:strRef>
              <c:f>Hárok4!$A$3</c:f>
              <c:strCache>
                <c:ptCount val="1"/>
                <c:pt idx="0">
                  <c:v>Krátkodobá migrácia za prácou do zahraničia</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sk-SK"/>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Hárok4!$B$4:$M$4</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Hárok4!$B$6:$M$6</c:f>
              <c:numCache>
                <c:formatCode>General</c:formatCode>
                <c:ptCount val="12"/>
                <c:pt idx="0">
                  <c:v>103.6</c:v>
                </c:pt>
                <c:pt idx="1">
                  <c:v>125.4</c:v>
                </c:pt>
                <c:pt idx="2">
                  <c:v>158</c:v>
                </c:pt>
                <c:pt idx="3">
                  <c:v>177.4</c:v>
                </c:pt>
                <c:pt idx="4">
                  <c:v>167.8</c:v>
                </c:pt>
                <c:pt idx="5">
                  <c:v>129.1</c:v>
                </c:pt>
                <c:pt idx="6">
                  <c:v>126.9</c:v>
                </c:pt>
                <c:pt idx="7">
                  <c:v>115.1</c:v>
                </c:pt>
                <c:pt idx="8">
                  <c:v>120.6</c:v>
                </c:pt>
                <c:pt idx="9">
                  <c:v>136.4</c:v>
                </c:pt>
                <c:pt idx="10">
                  <c:v>134.1</c:v>
                </c:pt>
                <c:pt idx="11">
                  <c:v>148.19999999999999</c:v>
                </c:pt>
              </c:numCache>
            </c:numRef>
          </c:val>
          <c:extLst xmlns:c16r2="http://schemas.microsoft.com/office/drawing/2015/06/chart">
            <c:ext xmlns:c16="http://schemas.microsoft.com/office/drawing/2014/chart" uri="{C3380CC4-5D6E-409C-BE32-E72D297353CC}">
              <c16:uniqueId val="{00000000-363B-409F-A5B8-9AB6738450FC}"/>
            </c:ext>
          </c:extLst>
        </c:ser>
        <c:dLbls>
          <c:showLegendKey val="0"/>
          <c:showVal val="1"/>
          <c:showCatName val="0"/>
          <c:showSerName val="0"/>
          <c:showPercent val="0"/>
          <c:showBubbleSize val="0"/>
        </c:dLbls>
        <c:gapWidth val="150"/>
        <c:axId val="24622976"/>
        <c:axId val="24630016"/>
      </c:barChart>
      <c:catAx>
        <c:axId val="2462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24630016"/>
        <c:crosses val="autoZero"/>
        <c:auto val="1"/>
        <c:lblAlgn val="ctr"/>
        <c:lblOffset val="100"/>
        <c:noMultiLvlLbl val="0"/>
      </c:catAx>
      <c:valAx>
        <c:axId val="24630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24622976"/>
        <c:crosses val="autoZero"/>
        <c:crossBetween val="between"/>
      </c:valAx>
      <c:spPr>
        <a:noFill/>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sk-SK"/>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lineChart>
        <c:grouping val="standard"/>
        <c:varyColors val="0"/>
        <c:ser>
          <c:idx val="0"/>
          <c:order val="0"/>
          <c:tx>
            <c:strRef>
              <c:f>'[tabulka_sprava o PP_skolstvo.xlsx]Hárok3'!$B$2</c:f>
              <c:strCache>
                <c:ptCount val="1"/>
                <c:pt idx="0">
                  <c:v>2015</c:v>
                </c:pt>
              </c:strCache>
            </c:strRef>
          </c:tx>
          <c:marker>
            <c:symbol val="none"/>
          </c:marker>
          <c:cat>
            <c:strRef>
              <c:f>'[tabulka_sprava o PP_skolstvo.xlsx]Hárok3'!$G$3:$I$11</c:f>
              <c:strCache>
                <c:ptCount val="9"/>
                <c:pt idx="0">
                  <c:v>prírodné vedy</c:v>
                </c:pt>
                <c:pt idx="1">
                  <c:v>techn. vedy a náuky I.</c:v>
                </c:pt>
                <c:pt idx="2">
                  <c:v>techn. vedy a náuky II.</c:v>
                </c:pt>
                <c:pt idx="3">
                  <c:v>poľno.-les. a veter. vedy a náuky</c:v>
                </c:pt>
                <c:pt idx="4">
                  <c:v>lekárske a farma. vedy a náuky</c:v>
                </c:pt>
                <c:pt idx="5">
                  <c:v>spol. vedy, náuky a služby I.</c:v>
                </c:pt>
                <c:pt idx="6">
                  <c:v>spol. vedy, náuky a služby II.</c:v>
                </c:pt>
                <c:pt idx="7">
                  <c:v>vedy a náuky o umení</c:v>
                </c:pt>
                <c:pt idx="8">
                  <c:v>vojenské a bezpeč. vedy a náuky</c:v>
                </c:pt>
              </c:strCache>
            </c:strRef>
          </c:cat>
          <c:val>
            <c:numRef>
              <c:f>'[tabulka_sprava o PP_skolstvo.xlsx]Hárok3'!$B$3:$B$11</c:f>
              <c:numCache>
                <c:formatCode>General</c:formatCode>
                <c:ptCount val="9"/>
                <c:pt idx="0">
                  <c:v>2392</c:v>
                </c:pt>
                <c:pt idx="1">
                  <c:v>6385</c:v>
                </c:pt>
                <c:pt idx="2">
                  <c:v>3284</c:v>
                </c:pt>
                <c:pt idx="3">
                  <c:v>1816</c:v>
                </c:pt>
                <c:pt idx="4">
                  <c:v>2563</c:v>
                </c:pt>
                <c:pt idx="5">
                  <c:v>13102</c:v>
                </c:pt>
                <c:pt idx="6">
                  <c:v>12323</c:v>
                </c:pt>
                <c:pt idx="7">
                  <c:v>1239</c:v>
                </c:pt>
                <c:pt idx="8">
                  <c:v>460</c:v>
                </c:pt>
              </c:numCache>
            </c:numRef>
          </c:val>
          <c:smooth val="0"/>
          <c:extLst xmlns:c16r2="http://schemas.microsoft.com/office/drawing/2015/06/chart">
            <c:ext xmlns:c16="http://schemas.microsoft.com/office/drawing/2014/chart" uri="{C3380CC4-5D6E-409C-BE32-E72D297353CC}">
              <c16:uniqueId val="{00000000-76B0-4584-817E-9F1D300320CC}"/>
            </c:ext>
          </c:extLst>
        </c:ser>
        <c:ser>
          <c:idx val="1"/>
          <c:order val="1"/>
          <c:tx>
            <c:strRef>
              <c:f>'[tabulka_sprava o PP_skolstvo.xlsx]Hárok3'!$C$2</c:f>
              <c:strCache>
                <c:ptCount val="1"/>
                <c:pt idx="0">
                  <c:v>2014</c:v>
                </c:pt>
              </c:strCache>
            </c:strRef>
          </c:tx>
          <c:marker>
            <c:symbol val="none"/>
          </c:marker>
          <c:cat>
            <c:strRef>
              <c:f>'[tabulka_sprava o PP_skolstvo.xlsx]Hárok3'!$G$3:$I$11</c:f>
              <c:strCache>
                <c:ptCount val="9"/>
                <c:pt idx="0">
                  <c:v>prírodné vedy</c:v>
                </c:pt>
                <c:pt idx="1">
                  <c:v>techn. vedy a náuky I.</c:v>
                </c:pt>
                <c:pt idx="2">
                  <c:v>techn. vedy a náuky II.</c:v>
                </c:pt>
                <c:pt idx="3">
                  <c:v>poľno.-les. a veter. vedy a náuky</c:v>
                </c:pt>
                <c:pt idx="4">
                  <c:v>lekárske a farma. vedy a náuky</c:v>
                </c:pt>
                <c:pt idx="5">
                  <c:v>spol. vedy, náuky a služby I.</c:v>
                </c:pt>
                <c:pt idx="6">
                  <c:v>spol. vedy, náuky a služby II.</c:v>
                </c:pt>
                <c:pt idx="7">
                  <c:v>vedy a náuky o umení</c:v>
                </c:pt>
                <c:pt idx="8">
                  <c:v>vojenské a bezpeč. vedy a náuky</c:v>
                </c:pt>
              </c:strCache>
            </c:strRef>
          </c:cat>
          <c:val>
            <c:numRef>
              <c:f>'[tabulka_sprava o PP_skolstvo.xlsx]Hárok3'!$C$3:$C$11</c:f>
              <c:numCache>
                <c:formatCode>General</c:formatCode>
                <c:ptCount val="9"/>
                <c:pt idx="0">
                  <c:v>2575</c:v>
                </c:pt>
                <c:pt idx="1">
                  <c:v>6851</c:v>
                </c:pt>
                <c:pt idx="2">
                  <c:v>3630</c:v>
                </c:pt>
                <c:pt idx="3">
                  <c:v>1789</c:v>
                </c:pt>
                <c:pt idx="4">
                  <c:v>4791</c:v>
                </c:pt>
                <c:pt idx="5">
                  <c:v>18835</c:v>
                </c:pt>
                <c:pt idx="6">
                  <c:v>19107</c:v>
                </c:pt>
                <c:pt idx="7">
                  <c:v>1360</c:v>
                </c:pt>
                <c:pt idx="8">
                  <c:v>2170</c:v>
                </c:pt>
              </c:numCache>
            </c:numRef>
          </c:val>
          <c:smooth val="0"/>
          <c:extLst xmlns:c16r2="http://schemas.microsoft.com/office/drawing/2015/06/chart">
            <c:ext xmlns:c16="http://schemas.microsoft.com/office/drawing/2014/chart" uri="{C3380CC4-5D6E-409C-BE32-E72D297353CC}">
              <c16:uniqueId val="{00000001-76B0-4584-817E-9F1D300320CC}"/>
            </c:ext>
          </c:extLst>
        </c:ser>
        <c:dLbls>
          <c:showLegendKey val="0"/>
          <c:showVal val="0"/>
          <c:showCatName val="0"/>
          <c:showSerName val="0"/>
          <c:showPercent val="0"/>
          <c:showBubbleSize val="0"/>
        </c:dLbls>
        <c:marker val="1"/>
        <c:smooth val="0"/>
        <c:axId val="24737280"/>
        <c:axId val="24738816"/>
      </c:lineChart>
      <c:catAx>
        <c:axId val="24737280"/>
        <c:scaling>
          <c:orientation val="minMax"/>
        </c:scaling>
        <c:delete val="0"/>
        <c:axPos val="b"/>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38816"/>
        <c:crosses val="autoZero"/>
        <c:auto val="1"/>
        <c:lblAlgn val="ctr"/>
        <c:lblOffset val="100"/>
        <c:noMultiLvlLbl val="0"/>
      </c:catAx>
      <c:valAx>
        <c:axId val="24738816"/>
        <c:scaling>
          <c:orientation val="minMax"/>
        </c:scaling>
        <c:delete val="0"/>
        <c:axPos val="l"/>
        <c:majorGridlines/>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37280"/>
        <c:crosses val="autoZero"/>
        <c:crossBetween val="between"/>
      </c:valAx>
      <c:dTable>
        <c:showHorzBorder val="1"/>
        <c:showVertBorder val="1"/>
        <c:showOutline val="1"/>
        <c:showKeys val="1"/>
        <c:txPr>
          <a:bodyPr/>
          <a:lstStyle/>
          <a:p>
            <a:pPr rtl="0">
              <a:defRPr sz="900">
                <a:latin typeface="Times New Roman" panose="02020603050405020304" pitchFamily="18" charset="0"/>
                <a:cs typeface="Times New Roman" panose="02020603050405020304" pitchFamily="18" charset="0"/>
              </a:defRPr>
            </a:pPr>
            <a:endParaRPr lang="sk-SK"/>
          </a:p>
        </c:txPr>
      </c:dTable>
    </c:plotArea>
    <c:legend>
      <c:legendPos val="r"/>
      <c:overlay val="0"/>
      <c:txPr>
        <a:bodyPr/>
        <a:lstStyle/>
        <a:p>
          <a:pPr>
            <a:defRPr>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Tabelle2!$A$2</c:f>
              <c:strCache>
                <c:ptCount val="1"/>
                <c:pt idx="0">
                  <c:v>Gymnázia</c:v>
                </c:pt>
              </c:strCache>
            </c:strRef>
          </c:tx>
          <c:invertIfNegative val="0"/>
          <c:cat>
            <c:strRef>
              <c:f>Tabelle2!$B$3:$I$3</c:f>
              <c:strCache>
                <c:ptCount val="8"/>
                <c:pt idx="0">
                  <c:v>2008</c:v>
                </c:pt>
                <c:pt idx="1">
                  <c:v>2009</c:v>
                </c:pt>
                <c:pt idx="2">
                  <c:v>2010</c:v>
                </c:pt>
                <c:pt idx="3">
                  <c:v>2011</c:v>
                </c:pt>
                <c:pt idx="4">
                  <c:v>2012</c:v>
                </c:pt>
                <c:pt idx="5">
                  <c:v>2013</c:v>
                </c:pt>
                <c:pt idx="6">
                  <c:v>2014</c:v>
                </c:pt>
                <c:pt idx="7">
                  <c:v>2015</c:v>
                </c:pt>
              </c:strCache>
            </c:strRef>
          </c:cat>
          <c:val>
            <c:numRef>
              <c:f>Tabelle2!$B$4:$I$4</c:f>
              <c:numCache>
                <c:formatCode>General</c:formatCode>
                <c:ptCount val="8"/>
                <c:pt idx="0">
                  <c:v>15471</c:v>
                </c:pt>
                <c:pt idx="1">
                  <c:v>15900</c:v>
                </c:pt>
                <c:pt idx="2">
                  <c:v>16199</c:v>
                </c:pt>
                <c:pt idx="3">
                  <c:v>15150</c:v>
                </c:pt>
                <c:pt idx="4">
                  <c:v>15324</c:v>
                </c:pt>
                <c:pt idx="5">
                  <c:v>14825</c:v>
                </c:pt>
                <c:pt idx="6">
                  <c:v>13608</c:v>
                </c:pt>
                <c:pt idx="7">
                  <c:v>13060</c:v>
                </c:pt>
              </c:numCache>
            </c:numRef>
          </c:val>
          <c:extLst xmlns:c16r2="http://schemas.microsoft.com/office/drawing/2015/06/chart">
            <c:ext xmlns:c16="http://schemas.microsoft.com/office/drawing/2014/chart" uri="{C3380CC4-5D6E-409C-BE32-E72D297353CC}">
              <c16:uniqueId val="{00000000-BB3A-4716-A6DF-ACA89B6D5CC4}"/>
            </c:ext>
          </c:extLst>
        </c:ser>
        <c:ser>
          <c:idx val="1"/>
          <c:order val="1"/>
          <c:tx>
            <c:strRef>
              <c:f>Tabelle2!$A$18</c:f>
              <c:strCache>
                <c:ptCount val="1"/>
                <c:pt idx="0">
                  <c:v>Konzervatóriá</c:v>
                </c:pt>
              </c:strCache>
            </c:strRef>
          </c:tx>
          <c:invertIfNegative val="0"/>
          <c:cat>
            <c:strRef>
              <c:f>Tabelle2!$B$3:$I$3</c:f>
              <c:strCache>
                <c:ptCount val="8"/>
                <c:pt idx="0">
                  <c:v>2008</c:v>
                </c:pt>
                <c:pt idx="1">
                  <c:v>2009</c:v>
                </c:pt>
                <c:pt idx="2">
                  <c:v>2010</c:v>
                </c:pt>
                <c:pt idx="3">
                  <c:v>2011</c:v>
                </c:pt>
                <c:pt idx="4">
                  <c:v>2012</c:v>
                </c:pt>
                <c:pt idx="5">
                  <c:v>2013</c:v>
                </c:pt>
                <c:pt idx="6">
                  <c:v>2014</c:v>
                </c:pt>
                <c:pt idx="7">
                  <c:v>2015</c:v>
                </c:pt>
              </c:strCache>
            </c:strRef>
          </c:cat>
          <c:val>
            <c:numRef>
              <c:f>Tabelle2!$B$20:$I$20</c:f>
              <c:numCache>
                <c:formatCode>General</c:formatCode>
                <c:ptCount val="8"/>
                <c:pt idx="0">
                  <c:v>454</c:v>
                </c:pt>
                <c:pt idx="1">
                  <c:v>453</c:v>
                </c:pt>
                <c:pt idx="2">
                  <c:v>450</c:v>
                </c:pt>
                <c:pt idx="3">
                  <c:v>655</c:v>
                </c:pt>
                <c:pt idx="4">
                  <c:v>567</c:v>
                </c:pt>
                <c:pt idx="5">
                  <c:v>619</c:v>
                </c:pt>
                <c:pt idx="6">
                  <c:v>640</c:v>
                </c:pt>
                <c:pt idx="7">
                  <c:v>682</c:v>
                </c:pt>
              </c:numCache>
            </c:numRef>
          </c:val>
          <c:extLst xmlns:c16r2="http://schemas.microsoft.com/office/drawing/2015/06/chart">
            <c:ext xmlns:c16="http://schemas.microsoft.com/office/drawing/2014/chart" uri="{C3380CC4-5D6E-409C-BE32-E72D297353CC}">
              <c16:uniqueId val="{00000001-BB3A-4716-A6DF-ACA89B6D5CC4}"/>
            </c:ext>
          </c:extLst>
        </c:ser>
        <c:ser>
          <c:idx val="2"/>
          <c:order val="2"/>
          <c:tx>
            <c:strRef>
              <c:f>Tabelle2!$A$34</c:f>
              <c:strCache>
                <c:ptCount val="1"/>
                <c:pt idx="0">
                  <c:v>Stredné odborné školy- denné štúdium</c:v>
                </c:pt>
              </c:strCache>
            </c:strRef>
          </c:tx>
          <c:invertIfNegative val="0"/>
          <c:cat>
            <c:strRef>
              <c:f>Tabelle2!$B$3:$I$3</c:f>
              <c:strCache>
                <c:ptCount val="8"/>
                <c:pt idx="0">
                  <c:v>2008</c:v>
                </c:pt>
                <c:pt idx="1">
                  <c:v>2009</c:v>
                </c:pt>
                <c:pt idx="2">
                  <c:v>2010</c:v>
                </c:pt>
                <c:pt idx="3">
                  <c:v>2011</c:v>
                </c:pt>
                <c:pt idx="4">
                  <c:v>2012</c:v>
                </c:pt>
                <c:pt idx="5">
                  <c:v>2013</c:v>
                </c:pt>
                <c:pt idx="6">
                  <c:v>2014</c:v>
                </c:pt>
                <c:pt idx="7">
                  <c:v>2015</c:v>
                </c:pt>
              </c:strCache>
            </c:strRef>
          </c:cat>
          <c:val>
            <c:numRef>
              <c:f>Tabelle2!$B$36:$I$36</c:f>
              <c:numCache>
                <c:formatCode>General</c:formatCode>
                <c:ptCount val="8"/>
                <c:pt idx="0">
                  <c:v>46056</c:v>
                </c:pt>
                <c:pt idx="1">
                  <c:v>43571</c:v>
                </c:pt>
                <c:pt idx="2">
                  <c:v>44024</c:v>
                </c:pt>
                <c:pt idx="3">
                  <c:v>42824</c:v>
                </c:pt>
                <c:pt idx="4">
                  <c:v>41244</c:v>
                </c:pt>
                <c:pt idx="5">
                  <c:v>37449</c:v>
                </c:pt>
                <c:pt idx="6">
                  <c:v>33517</c:v>
                </c:pt>
                <c:pt idx="7">
                  <c:v>30526</c:v>
                </c:pt>
              </c:numCache>
            </c:numRef>
          </c:val>
          <c:extLst xmlns:c16r2="http://schemas.microsoft.com/office/drawing/2015/06/chart">
            <c:ext xmlns:c16="http://schemas.microsoft.com/office/drawing/2014/chart" uri="{C3380CC4-5D6E-409C-BE32-E72D297353CC}">
              <c16:uniqueId val="{00000002-BB3A-4716-A6DF-ACA89B6D5CC4}"/>
            </c:ext>
          </c:extLst>
        </c:ser>
        <c:ser>
          <c:idx val="3"/>
          <c:order val="3"/>
          <c:tx>
            <c:strRef>
              <c:f>Tabelle2!$A$50</c:f>
              <c:strCache>
                <c:ptCount val="1"/>
                <c:pt idx="0">
                  <c:v>Stredné odborné školy- externé štúdium</c:v>
                </c:pt>
              </c:strCache>
            </c:strRef>
          </c:tx>
          <c:invertIfNegative val="0"/>
          <c:cat>
            <c:strRef>
              <c:f>Tabelle2!$B$3:$I$3</c:f>
              <c:strCache>
                <c:ptCount val="8"/>
                <c:pt idx="0">
                  <c:v>2008</c:v>
                </c:pt>
                <c:pt idx="1">
                  <c:v>2009</c:v>
                </c:pt>
                <c:pt idx="2">
                  <c:v>2010</c:v>
                </c:pt>
                <c:pt idx="3">
                  <c:v>2011</c:v>
                </c:pt>
                <c:pt idx="4">
                  <c:v>2012</c:v>
                </c:pt>
                <c:pt idx="5">
                  <c:v>2013</c:v>
                </c:pt>
                <c:pt idx="6">
                  <c:v>2014</c:v>
                </c:pt>
                <c:pt idx="7">
                  <c:v>2015</c:v>
                </c:pt>
              </c:strCache>
            </c:strRef>
          </c:cat>
          <c:val>
            <c:numRef>
              <c:f>Tabelle2!$B$52:$I$52</c:f>
              <c:numCache>
                <c:formatCode>General</c:formatCode>
                <c:ptCount val="8"/>
                <c:pt idx="0">
                  <c:v>5529</c:v>
                </c:pt>
                <c:pt idx="1">
                  <c:v>5991</c:v>
                </c:pt>
                <c:pt idx="2">
                  <c:v>6571</c:v>
                </c:pt>
                <c:pt idx="3">
                  <c:v>6633</c:v>
                </c:pt>
                <c:pt idx="4">
                  <c:v>5895</c:v>
                </c:pt>
                <c:pt idx="5">
                  <c:v>5945</c:v>
                </c:pt>
                <c:pt idx="6">
                  <c:v>5763</c:v>
                </c:pt>
                <c:pt idx="7">
                  <c:v>5785</c:v>
                </c:pt>
              </c:numCache>
            </c:numRef>
          </c:val>
          <c:extLst xmlns:c16r2="http://schemas.microsoft.com/office/drawing/2015/06/chart">
            <c:ext xmlns:c16="http://schemas.microsoft.com/office/drawing/2014/chart" uri="{C3380CC4-5D6E-409C-BE32-E72D297353CC}">
              <c16:uniqueId val="{00000003-BB3A-4716-A6DF-ACA89B6D5CC4}"/>
            </c:ext>
          </c:extLst>
        </c:ser>
        <c:ser>
          <c:idx val="4"/>
          <c:order val="4"/>
          <c:tx>
            <c:strRef>
              <c:f>Tabelle2!$A$66</c:f>
              <c:strCache>
                <c:ptCount val="1"/>
                <c:pt idx="0">
                  <c:v>Stredné odborné školy- 8 ročné stúdium</c:v>
                </c:pt>
              </c:strCache>
            </c:strRef>
          </c:tx>
          <c:invertIfNegative val="0"/>
          <c:cat>
            <c:strRef>
              <c:f>Tabelle2!$B$3:$I$3</c:f>
              <c:strCache>
                <c:ptCount val="8"/>
                <c:pt idx="0">
                  <c:v>2008</c:v>
                </c:pt>
                <c:pt idx="1">
                  <c:v>2009</c:v>
                </c:pt>
                <c:pt idx="2">
                  <c:v>2010</c:v>
                </c:pt>
                <c:pt idx="3">
                  <c:v>2011</c:v>
                </c:pt>
                <c:pt idx="4">
                  <c:v>2012</c:v>
                </c:pt>
                <c:pt idx="5">
                  <c:v>2013</c:v>
                </c:pt>
                <c:pt idx="6">
                  <c:v>2014</c:v>
                </c:pt>
                <c:pt idx="7">
                  <c:v>2015</c:v>
                </c:pt>
              </c:strCache>
            </c:strRef>
          </c:cat>
          <c:val>
            <c:numRef>
              <c:f>Tabelle2!$B$68:$I$68</c:f>
              <c:numCache>
                <c:formatCode>General</c:formatCode>
                <c:ptCount val="8"/>
                <c:pt idx="0">
                  <c:v>476</c:v>
                </c:pt>
                <c:pt idx="1">
                  <c:v>433</c:v>
                </c:pt>
                <c:pt idx="2">
                  <c:v>442</c:v>
                </c:pt>
                <c:pt idx="3">
                  <c:v>653</c:v>
                </c:pt>
                <c:pt idx="4">
                  <c:v>574</c:v>
                </c:pt>
                <c:pt idx="5">
                  <c:v>499</c:v>
                </c:pt>
                <c:pt idx="6">
                  <c:v>454</c:v>
                </c:pt>
                <c:pt idx="7">
                  <c:v>412</c:v>
                </c:pt>
              </c:numCache>
            </c:numRef>
          </c:val>
          <c:extLst xmlns:c16r2="http://schemas.microsoft.com/office/drawing/2015/06/chart">
            <c:ext xmlns:c16="http://schemas.microsoft.com/office/drawing/2014/chart" uri="{C3380CC4-5D6E-409C-BE32-E72D297353CC}">
              <c16:uniqueId val="{00000004-BB3A-4716-A6DF-ACA89B6D5CC4}"/>
            </c:ext>
          </c:extLst>
        </c:ser>
        <c:dLbls>
          <c:showLegendKey val="0"/>
          <c:showVal val="0"/>
          <c:showCatName val="0"/>
          <c:showSerName val="0"/>
          <c:showPercent val="0"/>
          <c:showBubbleSize val="0"/>
        </c:dLbls>
        <c:gapWidth val="150"/>
        <c:axId val="24754048"/>
        <c:axId val="24755584"/>
      </c:barChart>
      <c:catAx>
        <c:axId val="24754048"/>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55584"/>
        <c:crosses val="autoZero"/>
        <c:auto val="1"/>
        <c:lblAlgn val="ctr"/>
        <c:lblOffset val="100"/>
        <c:noMultiLvlLbl val="0"/>
      </c:catAx>
      <c:valAx>
        <c:axId val="24755584"/>
        <c:scaling>
          <c:orientation val="minMax"/>
        </c:scaling>
        <c:delete val="0"/>
        <c:axPos val="l"/>
        <c:majorGridlines/>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54048"/>
        <c:crosses val="autoZero"/>
        <c:crossBetween val="between"/>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Tabelle2!$K$3</c:f>
              <c:strCache>
                <c:ptCount val="1"/>
                <c:pt idx="0">
                  <c:v>Gymnázia</c:v>
                </c:pt>
              </c:strCache>
            </c:strRef>
          </c:tx>
          <c:invertIfNegative val="0"/>
          <c:cat>
            <c:strRef>
              <c:f>Tabelle2!$L$2:$S$2</c:f>
              <c:strCache>
                <c:ptCount val="8"/>
                <c:pt idx="0">
                  <c:v>2008</c:v>
                </c:pt>
                <c:pt idx="1">
                  <c:v>2009</c:v>
                </c:pt>
                <c:pt idx="2">
                  <c:v>2010</c:v>
                </c:pt>
                <c:pt idx="3">
                  <c:v>2011</c:v>
                </c:pt>
                <c:pt idx="4">
                  <c:v>2012</c:v>
                </c:pt>
                <c:pt idx="5">
                  <c:v>2013</c:v>
                </c:pt>
                <c:pt idx="6">
                  <c:v>2014</c:v>
                </c:pt>
                <c:pt idx="7">
                  <c:v>2015</c:v>
                </c:pt>
              </c:strCache>
            </c:strRef>
          </c:cat>
          <c:val>
            <c:numRef>
              <c:f>Tabelle2!$L$9:$S$9</c:f>
              <c:numCache>
                <c:formatCode>0.00%</c:formatCode>
                <c:ptCount val="8"/>
                <c:pt idx="0">
                  <c:v>0.22756155679110404</c:v>
                </c:pt>
                <c:pt idx="1">
                  <c:v>0.23964550551636829</c:v>
                </c:pt>
                <c:pt idx="2">
                  <c:v>0.23932570989569488</c:v>
                </c:pt>
                <c:pt idx="3">
                  <c:v>0.22984146248956991</c:v>
                </c:pt>
                <c:pt idx="4">
                  <c:v>0.24092824350669781</c:v>
                </c:pt>
                <c:pt idx="5">
                  <c:v>0.2498441107572005</c:v>
                </c:pt>
                <c:pt idx="6">
                  <c:v>0.25208402800933644</c:v>
                </c:pt>
                <c:pt idx="7">
                  <c:v>0.2587932230258595</c:v>
                </c:pt>
              </c:numCache>
            </c:numRef>
          </c:val>
          <c:extLst xmlns:c16r2="http://schemas.microsoft.com/office/drawing/2015/06/chart">
            <c:ext xmlns:c16="http://schemas.microsoft.com/office/drawing/2014/chart" uri="{C3380CC4-5D6E-409C-BE32-E72D297353CC}">
              <c16:uniqueId val="{00000000-F90F-4EBC-BAE3-6D64E32F0AF3}"/>
            </c:ext>
          </c:extLst>
        </c:ser>
        <c:ser>
          <c:idx val="1"/>
          <c:order val="1"/>
          <c:tx>
            <c:strRef>
              <c:f>Tabelle2!$K$4</c:f>
              <c:strCache>
                <c:ptCount val="1"/>
                <c:pt idx="0">
                  <c:v>Konzervatóriá</c:v>
                </c:pt>
              </c:strCache>
            </c:strRef>
          </c:tx>
          <c:invertIfNegative val="0"/>
          <c:cat>
            <c:strRef>
              <c:f>Tabelle2!$L$2:$S$2</c:f>
              <c:strCache>
                <c:ptCount val="8"/>
                <c:pt idx="0">
                  <c:v>2008</c:v>
                </c:pt>
                <c:pt idx="1">
                  <c:v>2009</c:v>
                </c:pt>
                <c:pt idx="2">
                  <c:v>2010</c:v>
                </c:pt>
                <c:pt idx="3">
                  <c:v>2011</c:v>
                </c:pt>
                <c:pt idx="4">
                  <c:v>2012</c:v>
                </c:pt>
                <c:pt idx="5">
                  <c:v>2013</c:v>
                </c:pt>
                <c:pt idx="6">
                  <c:v>2014</c:v>
                </c:pt>
                <c:pt idx="7">
                  <c:v>2015</c:v>
                </c:pt>
              </c:strCache>
            </c:strRef>
          </c:cat>
          <c:val>
            <c:numRef>
              <c:f>Tabelle2!$L$10:$S$10</c:f>
              <c:numCache>
                <c:formatCode>0.00%</c:formatCode>
                <c:ptCount val="8"/>
                <c:pt idx="0">
                  <c:v>6.6778454387668067E-3</c:v>
                </c:pt>
                <c:pt idx="1">
                  <c:v>6.827636100560682E-3</c:v>
                </c:pt>
                <c:pt idx="2">
                  <c:v>6.6483467777679293E-3</c:v>
                </c:pt>
                <c:pt idx="3">
                  <c:v>9.9370401274368504E-3</c:v>
                </c:pt>
                <c:pt idx="4">
                  <c:v>8.9145336771272333E-3</c:v>
                </c:pt>
                <c:pt idx="5">
                  <c:v>1.0431939599238252E-2</c:v>
                </c:pt>
                <c:pt idx="6">
                  <c:v>1.1855803786447343E-2</c:v>
                </c:pt>
                <c:pt idx="7">
                  <c:v>1.3514316853264638E-2</c:v>
                </c:pt>
              </c:numCache>
            </c:numRef>
          </c:val>
          <c:extLst xmlns:c16r2="http://schemas.microsoft.com/office/drawing/2015/06/chart">
            <c:ext xmlns:c16="http://schemas.microsoft.com/office/drawing/2014/chart" uri="{C3380CC4-5D6E-409C-BE32-E72D297353CC}">
              <c16:uniqueId val="{00000001-F90F-4EBC-BAE3-6D64E32F0AF3}"/>
            </c:ext>
          </c:extLst>
        </c:ser>
        <c:ser>
          <c:idx val="2"/>
          <c:order val="2"/>
          <c:tx>
            <c:strRef>
              <c:f>Tabelle2!$K$5</c:f>
              <c:strCache>
                <c:ptCount val="1"/>
                <c:pt idx="0">
                  <c:v>Stredné odborné školy- denné štúdium</c:v>
                </c:pt>
              </c:strCache>
            </c:strRef>
          </c:tx>
          <c:invertIfNegative val="0"/>
          <c:cat>
            <c:strRef>
              <c:f>Tabelle2!$L$2:$S$2</c:f>
              <c:strCache>
                <c:ptCount val="8"/>
                <c:pt idx="0">
                  <c:v>2008</c:v>
                </c:pt>
                <c:pt idx="1">
                  <c:v>2009</c:v>
                </c:pt>
                <c:pt idx="2">
                  <c:v>2010</c:v>
                </c:pt>
                <c:pt idx="3">
                  <c:v>2011</c:v>
                </c:pt>
                <c:pt idx="4">
                  <c:v>2012</c:v>
                </c:pt>
                <c:pt idx="5">
                  <c:v>2013</c:v>
                </c:pt>
                <c:pt idx="6">
                  <c:v>2014</c:v>
                </c:pt>
                <c:pt idx="7">
                  <c:v>2015</c:v>
                </c:pt>
              </c:strCache>
            </c:strRef>
          </c:cat>
          <c:val>
            <c:numRef>
              <c:f>Tabelle2!$L$11:$S$11</c:f>
              <c:numCache>
                <c:formatCode>0.00%</c:formatCode>
                <c:ptCount val="8"/>
                <c:pt idx="0">
                  <c:v>0.67743358926837882</c:v>
                </c:pt>
                <c:pt idx="1">
                  <c:v>0.65670404533670979</c:v>
                </c:pt>
                <c:pt idx="2">
                  <c:v>0.65041515232101199</c:v>
                </c:pt>
                <c:pt idx="3">
                  <c:v>0.64968520063718482</c:v>
                </c:pt>
                <c:pt idx="4">
                  <c:v>0.64844978303251388</c:v>
                </c:pt>
                <c:pt idx="5">
                  <c:v>0.63112391930835754</c:v>
                </c:pt>
                <c:pt idx="6">
                  <c:v>0.62089214923493019</c:v>
                </c:pt>
                <c:pt idx="7">
                  <c:v>0.60489448132368995</c:v>
                </c:pt>
              </c:numCache>
            </c:numRef>
          </c:val>
          <c:extLst xmlns:c16r2="http://schemas.microsoft.com/office/drawing/2015/06/chart">
            <c:ext xmlns:c16="http://schemas.microsoft.com/office/drawing/2014/chart" uri="{C3380CC4-5D6E-409C-BE32-E72D297353CC}">
              <c16:uniqueId val="{00000002-F90F-4EBC-BAE3-6D64E32F0AF3}"/>
            </c:ext>
          </c:extLst>
        </c:ser>
        <c:ser>
          <c:idx val="3"/>
          <c:order val="3"/>
          <c:tx>
            <c:strRef>
              <c:f>Tabelle2!$K$6</c:f>
              <c:strCache>
                <c:ptCount val="1"/>
                <c:pt idx="0">
                  <c:v>Stredné odborné školy- externé štúdium</c:v>
                </c:pt>
              </c:strCache>
            </c:strRef>
          </c:tx>
          <c:invertIfNegative val="0"/>
          <c:cat>
            <c:strRef>
              <c:f>Tabelle2!$L$2:$S$2</c:f>
              <c:strCache>
                <c:ptCount val="8"/>
                <c:pt idx="0">
                  <c:v>2008</c:v>
                </c:pt>
                <c:pt idx="1">
                  <c:v>2009</c:v>
                </c:pt>
                <c:pt idx="2">
                  <c:v>2010</c:v>
                </c:pt>
                <c:pt idx="3">
                  <c:v>2011</c:v>
                </c:pt>
                <c:pt idx="4">
                  <c:v>2012</c:v>
                </c:pt>
                <c:pt idx="5">
                  <c:v>2013</c:v>
                </c:pt>
                <c:pt idx="6">
                  <c:v>2014</c:v>
                </c:pt>
                <c:pt idx="7">
                  <c:v>2015</c:v>
                </c:pt>
              </c:strCache>
            </c:strRef>
          </c:cat>
          <c:val>
            <c:numRef>
              <c:f>Tabelle2!$L$12:$S$12</c:f>
              <c:numCache>
                <c:formatCode>0.00%</c:formatCode>
                <c:ptCount val="8"/>
                <c:pt idx="0">
                  <c:v>8.1325567028505852E-2</c:v>
                </c:pt>
                <c:pt idx="1">
                  <c:v>9.0296617833242929E-2</c:v>
                </c:pt>
                <c:pt idx="2">
                  <c:v>9.7080637059362304E-2</c:v>
                </c:pt>
                <c:pt idx="3">
                  <c:v>0.10062959872563153</c:v>
                </c:pt>
                <c:pt idx="4">
                  <c:v>9.2682850135211645E-2</c:v>
                </c:pt>
                <c:pt idx="5">
                  <c:v>0.10019043766958222</c:v>
                </c:pt>
                <c:pt idx="6">
                  <c:v>0.10675780815827499</c:v>
                </c:pt>
                <c:pt idx="7">
                  <c:v>0.11463390468641636</c:v>
                </c:pt>
              </c:numCache>
            </c:numRef>
          </c:val>
          <c:extLst xmlns:c16r2="http://schemas.microsoft.com/office/drawing/2015/06/chart">
            <c:ext xmlns:c16="http://schemas.microsoft.com/office/drawing/2014/chart" uri="{C3380CC4-5D6E-409C-BE32-E72D297353CC}">
              <c16:uniqueId val="{00000003-F90F-4EBC-BAE3-6D64E32F0AF3}"/>
            </c:ext>
          </c:extLst>
        </c:ser>
        <c:ser>
          <c:idx val="4"/>
          <c:order val="4"/>
          <c:tx>
            <c:strRef>
              <c:f>Tabelle2!$K$7</c:f>
              <c:strCache>
                <c:ptCount val="1"/>
                <c:pt idx="0">
                  <c:v>Stredné odborné školy- 8 ročné stúdium</c:v>
                </c:pt>
              </c:strCache>
            </c:strRef>
          </c:tx>
          <c:invertIfNegative val="0"/>
          <c:cat>
            <c:strRef>
              <c:f>Tabelle2!$L$2:$S$2</c:f>
              <c:strCache>
                <c:ptCount val="8"/>
                <c:pt idx="0">
                  <c:v>2008</c:v>
                </c:pt>
                <c:pt idx="1">
                  <c:v>2009</c:v>
                </c:pt>
                <c:pt idx="2">
                  <c:v>2010</c:v>
                </c:pt>
                <c:pt idx="3">
                  <c:v>2011</c:v>
                </c:pt>
                <c:pt idx="4">
                  <c:v>2012</c:v>
                </c:pt>
                <c:pt idx="5">
                  <c:v>2013</c:v>
                </c:pt>
                <c:pt idx="6">
                  <c:v>2014</c:v>
                </c:pt>
                <c:pt idx="7">
                  <c:v>2015</c:v>
                </c:pt>
              </c:strCache>
            </c:strRef>
          </c:cat>
          <c:val>
            <c:numRef>
              <c:f>Tabelle2!$L$13:$S$13</c:f>
              <c:numCache>
                <c:formatCode>0.00%</c:formatCode>
                <c:ptCount val="8"/>
                <c:pt idx="0">
                  <c:v>7.0014414732444954E-3</c:v>
                </c:pt>
                <c:pt idx="1">
                  <c:v>6.5261952131187078E-3</c:v>
                </c:pt>
                <c:pt idx="2">
                  <c:v>6.5301539461631699E-3</c:v>
                </c:pt>
                <c:pt idx="3">
                  <c:v>9.9066980201775005E-3</c:v>
                </c:pt>
                <c:pt idx="4">
                  <c:v>9.0245896484497882E-3</c:v>
                </c:pt>
                <c:pt idx="5">
                  <c:v>8.4095926656217942E-3</c:v>
                </c:pt>
                <c:pt idx="6">
                  <c:v>8.4102108110110773E-3</c:v>
                </c:pt>
                <c:pt idx="7">
                  <c:v>8.1640741107698398E-3</c:v>
                </c:pt>
              </c:numCache>
            </c:numRef>
          </c:val>
          <c:extLst xmlns:c16r2="http://schemas.microsoft.com/office/drawing/2015/06/chart">
            <c:ext xmlns:c16="http://schemas.microsoft.com/office/drawing/2014/chart" uri="{C3380CC4-5D6E-409C-BE32-E72D297353CC}">
              <c16:uniqueId val="{00000004-F90F-4EBC-BAE3-6D64E32F0AF3}"/>
            </c:ext>
          </c:extLst>
        </c:ser>
        <c:dLbls>
          <c:showLegendKey val="0"/>
          <c:showVal val="0"/>
          <c:showCatName val="0"/>
          <c:showSerName val="0"/>
          <c:showPercent val="0"/>
          <c:showBubbleSize val="0"/>
        </c:dLbls>
        <c:gapWidth val="150"/>
        <c:axId val="24777088"/>
        <c:axId val="24778624"/>
      </c:barChart>
      <c:catAx>
        <c:axId val="24777088"/>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78624"/>
        <c:crosses val="autoZero"/>
        <c:auto val="1"/>
        <c:lblAlgn val="ctr"/>
        <c:lblOffset val="100"/>
        <c:noMultiLvlLbl val="0"/>
      </c:catAx>
      <c:valAx>
        <c:axId val="24778624"/>
        <c:scaling>
          <c:orientation val="minMax"/>
        </c:scaling>
        <c:delete val="0"/>
        <c:axPos val="l"/>
        <c:majorGridlines/>
        <c:numFmt formatCode="0.00%"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sk-SK"/>
          </a:p>
        </c:txPr>
        <c:crossAx val="24777088"/>
        <c:crosses val="autoZero"/>
        <c:crossBetween val="between"/>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Hárok1!$B$1</c:f>
              <c:strCache>
                <c:ptCount val="1"/>
                <c:pt idx="0">
                  <c:v>2004</c:v>
                </c:pt>
              </c:strCache>
            </c:strRef>
          </c:tx>
          <c:invertIfNegative val="0"/>
          <c:cat>
            <c:strRef>
              <c:f>Hárok1!$A$2:$A$7</c:f>
              <c:strCache>
                <c:ptCount val="6"/>
                <c:pt idx="0">
                  <c:v>EU-28</c:v>
                </c:pt>
                <c:pt idx="1">
                  <c:v>Rakúsko</c:v>
                </c:pt>
                <c:pt idx="2">
                  <c:v>Česká republika</c:v>
                </c:pt>
                <c:pt idx="3">
                  <c:v>Maďarsko</c:v>
                </c:pt>
                <c:pt idx="4">
                  <c:v>Poľsko</c:v>
                </c:pt>
                <c:pt idx="5">
                  <c:v>Slovenská republika</c:v>
                </c:pt>
              </c:strCache>
            </c:strRef>
          </c:cat>
          <c:val>
            <c:numRef>
              <c:f>Hárok1!$B$2:$B$7</c:f>
              <c:numCache>
                <c:formatCode>#,##0.00_i</c:formatCode>
                <c:ptCount val="6"/>
                <c:pt idx="0">
                  <c:v>1.76</c:v>
                </c:pt>
                <c:pt idx="1">
                  <c:v>2.17</c:v>
                </c:pt>
                <c:pt idx="2">
                  <c:v>1.1499999999999995</c:v>
                </c:pt>
                <c:pt idx="3">
                  <c:v>0.86000000000000021</c:v>
                </c:pt>
                <c:pt idx="4">
                  <c:v>0.56000000000000005</c:v>
                </c:pt>
                <c:pt idx="5">
                  <c:v>0.5</c:v>
                </c:pt>
              </c:numCache>
            </c:numRef>
          </c:val>
          <c:extLst xmlns:c16r2="http://schemas.microsoft.com/office/drawing/2015/06/chart">
            <c:ext xmlns:c16="http://schemas.microsoft.com/office/drawing/2014/chart" uri="{C3380CC4-5D6E-409C-BE32-E72D297353CC}">
              <c16:uniqueId val="{00000000-96E0-45B1-8108-8EA9E5823D6E}"/>
            </c:ext>
          </c:extLst>
        </c:ser>
        <c:ser>
          <c:idx val="1"/>
          <c:order val="1"/>
          <c:tx>
            <c:strRef>
              <c:f>Hárok1!$C$1</c:f>
              <c:strCache>
                <c:ptCount val="1"/>
                <c:pt idx="0">
                  <c:v>2014</c:v>
                </c:pt>
              </c:strCache>
            </c:strRef>
          </c:tx>
          <c:invertIfNegative val="0"/>
          <c:cat>
            <c:strRef>
              <c:f>Hárok1!$A$2:$A$7</c:f>
              <c:strCache>
                <c:ptCount val="6"/>
                <c:pt idx="0">
                  <c:v>EU-28</c:v>
                </c:pt>
                <c:pt idx="1">
                  <c:v>Rakúsko</c:v>
                </c:pt>
                <c:pt idx="2">
                  <c:v>Česká republika</c:v>
                </c:pt>
                <c:pt idx="3">
                  <c:v>Maďarsko</c:v>
                </c:pt>
                <c:pt idx="4">
                  <c:v>Poľsko</c:v>
                </c:pt>
                <c:pt idx="5">
                  <c:v>Slovenská republika</c:v>
                </c:pt>
              </c:strCache>
            </c:strRef>
          </c:cat>
          <c:val>
            <c:numRef>
              <c:f>Hárok1!$C$2:$C$7</c:f>
              <c:numCache>
                <c:formatCode>#,##0.00_i</c:formatCode>
                <c:ptCount val="6"/>
                <c:pt idx="0">
                  <c:v>2.0299999999999998</c:v>
                </c:pt>
                <c:pt idx="1">
                  <c:v>2.9899999999999998</c:v>
                </c:pt>
                <c:pt idx="2">
                  <c:v>2</c:v>
                </c:pt>
                <c:pt idx="3">
                  <c:v>1.37</c:v>
                </c:pt>
                <c:pt idx="4">
                  <c:v>0.94000000000000017</c:v>
                </c:pt>
                <c:pt idx="5">
                  <c:v>0.89</c:v>
                </c:pt>
              </c:numCache>
            </c:numRef>
          </c:val>
          <c:extLst xmlns:c16r2="http://schemas.microsoft.com/office/drawing/2015/06/chart">
            <c:ext xmlns:c16="http://schemas.microsoft.com/office/drawing/2014/chart" uri="{C3380CC4-5D6E-409C-BE32-E72D297353CC}">
              <c16:uniqueId val="{00000001-96E0-45B1-8108-8EA9E5823D6E}"/>
            </c:ext>
          </c:extLst>
        </c:ser>
        <c:dLbls>
          <c:showLegendKey val="0"/>
          <c:showVal val="0"/>
          <c:showCatName val="0"/>
          <c:showSerName val="0"/>
          <c:showPercent val="0"/>
          <c:showBubbleSize val="0"/>
        </c:dLbls>
        <c:gapWidth val="150"/>
        <c:axId val="24808448"/>
        <c:axId val="24814336"/>
      </c:barChart>
      <c:catAx>
        <c:axId val="24808448"/>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sk-SK"/>
          </a:p>
        </c:txPr>
        <c:crossAx val="24814336"/>
        <c:crosses val="autoZero"/>
        <c:auto val="1"/>
        <c:lblAlgn val="ctr"/>
        <c:lblOffset val="100"/>
        <c:noMultiLvlLbl val="0"/>
      </c:catAx>
      <c:valAx>
        <c:axId val="24814336"/>
        <c:scaling>
          <c:orientation val="minMax"/>
        </c:scaling>
        <c:delete val="0"/>
        <c:axPos val="l"/>
        <c:majorGridlines/>
        <c:numFmt formatCode="#,##0.00_i" sourceLinked="1"/>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sk-SK"/>
          </a:p>
        </c:txPr>
        <c:crossAx val="24808448"/>
        <c:crosses val="autoZero"/>
        <c:crossBetween val="between"/>
      </c:valAx>
    </c:plotArea>
    <c:legend>
      <c:legendPos val="r"/>
      <c:overlay val="0"/>
      <c:txPr>
        <a:bodyPr/>
        <a:lstStyle/>
        <a:p>
          <a:pPr>
            <a:defRPr sz="1100">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Hárok1!$A$3</c:f>
              <c:strCache>
                <c:ptCount val="1"/>
                <c:pt idx="0">
                  <c:v>Česká republika</c:v>
                </c:pt>
              </c:strCache>
            </c:strRef>
          </c:tx>
          <c:invertIfNegative val="0"/>
          <c:cat>
            <c:numRef>
              <c:f>Hárok1!$B$2:$K$2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Hárok1!$B$3:$K$3</c:f>
              <c:numCache>
                <c:formatCode>General</c:formatCode>
                <c:ptCount val="10"/>
                <c:pt idx="0">
                  <c:v>24</c:v>
                </c:pt>
                <c:pt idx="1">
                  <c:v>24</c:v>
                </c:pt>
                <c:pt idx="2">
                  <c:v>21</c:v>
                </c:pt>
                <c:pt idx="3">
                  <c:v>20</c:v>
                </c:pt>
                <c:pt idx="4">
                  <c:v>19</c:v>
                </c:pt>
                <c:pt idx="5">
                  <c:v>19</c:v>
                </c:pt>
                <c:pt idx="6">
                  <c:v>19</c:v>
                </c:pt>
                <c:pt idx="7">
                  <c:v>19</c:v>
                </c:pt>
                <c:pt idx="8">
                  <c:v>19</c:v>
                </c:pt>
                <c:pt idx="9">
                  <c:v>19</c:v>
                </c:pt>
              </c:numCache>
            </c:numRef>
          </c:val>
          <c:extLst xmlns:c16r2="http://schemas.microsoft.com/office/drawing/2015/06/chart">
            <c:ext xmlns:c16="http://schemas.microsoft.com/office/drawing/2014/chart" uri="{C3380CC4-5D6E-409C-BE32-E72D297353CC}">
              <c16:uniqueId val="{00000000-61FD-481C-B153-2CFFEE9240B4}"/>
            </c:ext>
          </c:extLst>
        </c:ser>
        <c:ser>
          <c:idx val="1"/>
          <c:order val="1"/>
          <c:tx>
            <c:strRef>
              <c:f>Hárok1!$A$4</c:f>
              <c:strCache>
                <c:ptCount val="1"/>
                <c:pt idx="0">
                  <c:v>Poľsko</c:v>
                </c:pt>
              </c:strCache>
            </c:strRef>
          </c:tx>
          <c:invertIfNegative val="0"/>
          <c:cat>
            <c:numRef>
              <c:f>Hárok1!$B$2:$K$2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Hárok1!$B$4:$K$4</c:f>
              <c:numCache>
                <c:formatCode>General</c:formatCode>
                <c:ptCount val="10"/>
                <c:pt idx="0">
                  <c:v>19</c:v>
                </c:pt>
                <c:pt idx="1">
                  <c:v>19</c:v>
                </c:pt>
                <c:pt idx="2">
                  <c:v>19</c:v>
                </c:pt>
                <c:pt idx="3">
                  <c:v>19</c:v>
                </c:pt>
                <c:pt idx="4">
                  <c:v>19</c:v>
                </c:pt>
                <c:pt idx="5">
                  <c:v>19</c:v>
                </c:pt>
                <c:pt idx="6">
                  <c:v>19</c:v>
                </c:pt>
                <c:pt idx="7">
                  <c:v>19</c:v>
                </c:pt>
                <c:pt idx="8">
                  <c:v>19</c:v>
                </c:pt>
                <c:pt idx="9">
                  <c:v>19</c:v>
                </c:pt>
              </c:numCache>
            </c:numRef>
          </c:val>
          <c:extLst xmlns:c16r2="http://schemas.microsoft.com/office/drawing/2015/06/chart">
            <c:ext xmlns:c16="http://schemas.microsoft.com/office/drawing/2014/chart" uri="{C3380CC4-5D6E-409C-BE32-E72D297353CC}">
              <c16:uniqueId val="{00000001-61FD-481C-B153-2CFFEE9240B4}"/>
            </c:ext>
          </c:extLst>
        </c:ser>
        <c:ser>
          <c:idx val="2"/>
          <c:order val="2"/>
          <c:tx>
            <c:strRef>
              <c:f>Hárok1!$A$5</c:f>
              <c:strCache>
                <c:ptCount val="1"/>
                <c:pt idx="0">
                  <c:v>Maďarsko</c:v>
                </c:pt>
              </c:strCache>
            </c:strRef>
          </c:tx>
          <c:invertIfNegative val="0"/>
          <c:cat>
            <c:numRef>
              <c:f>Hárok1!$B$2:$K$2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Hárok1!$B$5:$K$5</c:f>
              <c:numCache>
                <c:formatCode>General</c:formatCode>
                <c:ptCount val="10"/>
                <c:pt idx="0">
                  <c:v>19</c:v>
                </c:pt>
                <c:pt idx="1">
                  <c:v>19</c:v>
                </c:pt>
                <c:pt idx="2">
                  <c:v>19</c:v>
                </c:pt>
                <c:pt idx="3">
                  <c:v>19</c:v>
                </c:pt>
                <c:pt idx="4">
                  <c:v>19</c:v>
                </c:pt>
                <c:pt idx="5">
                  <c:v>19</c:v>
                </c:pt>
                <c:pt idx="6">
                  <c:v>19</c:v>
                </c:pt>
                <c:pt idx="7">
                  <c:v>19</c:v>
                </c:pt>
                <c:pt idx="8">
                  <c:v>19</c:v>
                </c:pt>
                <c:pt idx="9">
                  <c:v>19</c:v>
                </c:pt>
              </c:numCache>
            </c:numRef>
          </c:val>
          <c:extLst xmlns:c16r2="http://schemas.microsoft.com/office/drawing/2015/06/chart">
            <c:ext xmlns:c16="http://schemas.microsoft.com/office/drawing/2014/chart" uri="{C3380CC4-5D6E-409C-BE32-E72D297353CC}">
              <c16:uniqueId val="{00000002-61FD-481C-B153-2CFFEE9240B4}"/>
            </c:ext>
          </c:extLst>
        </c:ser>
        <c:ser>
          <c:idx val="3"/>
          <c:order val="3"/>
          <c:tx>
            <c:strRef>
              <c:f>Hárok1!$A$6</c:f>
              <c:strCache>
                <c:ptCount val="1"/>
                <c:pt idx="0">
                  <c:v>Slovensko</c:v>
                </c:pt>
              </c:strCache>
            </c:strRef>
          </c:tx>
          <c:invertIfNegative val="0"/>
          <c:cat>
            <c:numRef>
              <c:f>Hárok1!$B$2:$K$2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Hárok1!$B$6:$K$6</c:f>
              <c:numCache>
                <c:formatCode>General</c:formatCode>
                <c:ptCount val="10"/>
                <c:pt idx="0">
                  <c:v>19</c:v>
                </c:pt>
                <c:pt idx="1">
                  <c:v>19</c:v>
                </c:pt>
                <c:pt idx="2">
                  <c:v>19</c:v>
                </c:pt>
                <c:pt idx="3">
                  <c:v>19</c:v>
                </c:pt>
                <c:pt idx="4">
                  <c:v>19</c:v>
                </c:pt>
                <c:pt idx="5">
                  <c:v>19</c:v>
                </c:pt>
                <c:pt idx="6">
                  <c:v>19</c:v>
                </c:pt>
                <c:pt idx="7">
                  <c:v>23</c:v>
                </c:pt>
                <c:pt idx="8">
                  <c:v>22</c:v>
                </c:pt>
                <c:pt idx="9">
                  <c:v>22</c:v>
                </c:pt>
              </c:numCache>
            </c:numRef>
          </c:val>
          <c:extLst xmlns:c16r2="http://schemas.microsoft.com/office/drawing/2015/06/chart">
            <c:ext xmlns:c16="http://schemas.microsoft.com/office/drawing/2014/chart" uri="{C3380CC4-5D6E-409C-BE32-E72D297353CC}">
              <c16:uniqueId val="{00000003-61FD-481C-B153-2CFFEE9240B4}"/>
            </c:ext>
          </c:extLst>
        </c:ser>
        <c:dLbls>
          <c:showLegendKey val="0"/>
          <c:showVal val="0"/>
          <c:showCatName val="0"/>
          <c:showSerName val="0"/>
          <c:showPercent val="0"/>
          <c:showBubbleSize val="0"/>
        </c:dLbls>
        <c:gapWidth val="150"/>
        <c:axId val="24903680"/>
        <c:axId val="24905216"/>
      </c:barChart>
      <c:catAx>
        <c:axId val="24903680"/>
        <c:scaling>
          <c:orientation val="minMax"/>
        </c:scaling>
        <c:delete val="0"/>
        <c:axPos val="b"/>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905216"/>
        <c:crosses val="autoZero"/>
        <c:auto val="1"/>
        <c:lblAlgn val="ctr"/>
        <c:lblOffset val="100"/>
        <c:noMultiLvlLbl val="0"/>
      </c:catAx>
      <c:valAx>
        <c:axId val="24905216"/>
        <c:scaling>
          <c:orientation val="minMax"/>
        </c:scaling>
        <c:delete val="0"/>
        <c:axPos val="l"/>
        <c:majorGridlines/>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903680"/>
        <c:crosses val="autoZero"/>
        <c:crossBetween val="between"/>
      </c:valAx>
    </c:plotArea>
    <c:legend>
      <c:legendPos val="r"/>
      <c:overlay val="0"/>
      <c:txPr>
        <a:bodyPr/>
        <a:lstStyle/>
        <a:p>
          <a:pPr>
            <a:defRPr sz="1100">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Hárok2!$A$3</c:f>
              <c:strCache>
                <c:ptCount val="1"/>
                <c:pt idx="0">
                  <c:v>Rakúsko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Hárok2!$B$3:$K$3</c:f>
              <c:numCache>
                <c:formatCode>General</c:formatCode>
                <c:ptCount val="10"/>
                <c:pt idx="0">
                  <c:v>25</c:v>
                </c:pt>
                <c:pt idx="1">
                  <c:v>25</c:v>
                </c:pt>
                <c:pt idx="2">
                  <c:v>25</c:v>
                </c:pt>
                <c:pt idx="3">
                  <c:v>25</c:v>
                </c:pt>
                <c:pt idx="4">
                  <c:v>25</c:v>
                </c:pt>
                <c:pt idx="5">
                  <c:v>25</c:v>
                </c:pt>
                <c:pt idx="6">
                  <c:v>25</c:v>
                </c:pt>
                <c:pt idx="7">
                  <c:v>25</c:v>
                </c:pt>
                <c:pt idx="8">
                  <c:v>25</c:v>
                </c:pt>
                <c:pt idx="9">
                  <c:v>25</c:v>
                </c:pt>
              </c:numCache>
            </c:numRef>
          </c:val>
          <c:extLst xmlns:c16r2="http://schemas.microsoft.com/office/drawing/2015/06/chart">
            <c:ext xmlns:c16="http://schemas.microsoft.com/office/drawing/2014/chart" uri="{C3380CC4-5D6E-409C-BE32-E72D297353CC}">
              <c16:uniqueId val="{00000000-5ED3-4C1B-A7C7-0DB675A1594F}"/>
            </c:ext>
          </c:extLst>
        </c:ser>
        <c:ser>
          <c:idx val="1"/>
          <c:order val="1"/>
          <c:tx>
            <c:strRef>
              <c:f>Hárok2!$A$4</c:f>
              <c:strCache>
                <c:ptCount val="1"/>
                <c:pt idx="0">
                  <c:v>Nemecko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Hárok2!$B$4:$K$4</c:f>
              <c:numCache>
                <c:formatCode>General</c:formatCode>
                <c:ptCount val="10"/>
                <c:pt idx="0">
                  <c:v>38</c:v>
                </c:pt>
                <c:pt idx="1">
                  <c:v>38</c:v>
                </c:pt>
                <c:pt idx="2">
                  <c:v>29</c:v>
                </c:pt>
                <c:pt idx="3">
                  <c:v>29</c:v>
                </c:pt>
                <c:pt idx="4">
                  <c:v>29</c:v>
                </c:pt>
                <c:pt idx="5">
                  <c:v>29</c:v>
                </c:pt>
                <c:pt idx="6">
                  <c:v>29</c:v>
                </c:pt>
                <c:pt idx="7">
                  <c:v>29</c:v>
                </c:pt>
                <c:pt idx="8">
                  <c:v>29</c:v>
                </c:pt>
                <c:pt idx="9">
                  <c:v>29</c:v>
                </c:pt>
              </c:numCache>
            </c:numRef>
          </c:val>
          <c:extLst xmlns:c16r2="http://schemas.microsoft.com/office/drawing/2015/06/chart">
            <c:ext xmlns:c16="http://schemas.microsoft.com/office/drawing/2014/chart" uri="{C3380CC4-5D6E-409C-BE32-E72D297353CC}">
              <c16:uniqueId val="{00000001-5ED3-4C1B-A7C7-0DB675A1594F}"/>
            </c:ext>
          </c:extLst>
        </c:ser>
        <c:ser>
          <c:idx val="2"/>
          <c:order val="2"/>
          <c:tx>
            <c:strRef>
              <c:f>Hárok2!$A$5</c:f>
              <c:strCache>
                <c:ptCount val="1"/>
                <c:pt idx="0">
                  <c:v>Estónsko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Hárok2!$B$5:$K$5</c:f>
              <c:numCache>
                <c:formatCode>General</c:formatCode>
                <c:ptCount val="10"/>
                <c:pt idx="0">
                  <c:v>23</c:v>
                </c:pt>
                <c:pt idx="1">
                  <c:v>22</c:v>
                </c:pt>
                <c:pt idx="2">
                  <c:v>21</c:v>
                </c:pt>
                <c:pt idx="3">
                  <c:v>21</c:v>
                </c:pt>
                <c:pt idx="4">
                  <c:v>21</c:v>
                </c:pt>
                <c:pt idx="5">
                  <c:v>21</c:v>
                </c:pt>
                <c:pt idx="6">
                  <c:v>21</c:v>
                </c:pt>
                <c:pt idx="7">
                  <c:v>21</c:v>
                </c:pt>
                <c:pt idx="8">
                  <c:v>21</c:v>
                </c:pt>
                <c:pt idx="9">
                  <c:v>21</c:v>
                </c:pt>
              </c:numCache>
            </c:numRef>
          </c:val>
          <c:extLst xmlns:c16r2="http://schemas.microsoft.com/office/drawing/2015/06/chart">
            <c:ext xmlns:c16="http://schemas.microsoft.com/office/drawing/2014/chart" uri="{C3380CC4-5D6E-409C-BE32-E72D297353CC}">
              <c16:uniqueId val="{00000002-5ED3-4C1B-A7C7-0DB675A1594F}"/>
            </c:ext>
          </c:extLst>
        </c:ser>
        <c:ser>
          <c:idx val="3"/>
          <c:order val="3"/>
          <c:tx>
            <c:strRef>
              <c:f>Hárok2!$A$6</c:f>
              <c:strCache>
                <c:ptCount val="1"/>
                <c:pt idx="0">
                  <c:v>Slovinsko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Hárok2!$B$6:$K$6</c:f>
              <c:numCache>
                <c:formatCode>General</c:formatCode>
                <c:ptCount val="10"/>
                <c:pt idx="0">
                  <c:v>25</c:v>
                </c:pt>
                <c:pt idx="1">
                  <c:v>23</c:v>
                </c:pt>
                <c:pt idx="2">
                  <c:v>22</c:v>
                </c:pt>
                <c:pt idx="3">
                  <c:v>21</c:v>
                </c:pt>
                <c:pt idx="4">
                  <c:v>20</c:v>
                </c:pt>
                <c:pt idx="5">
                  <c:v>20</c:v>
                </c:pt>
                <c:pt idx="6">
                  <c:v>18</c:v>
                </c:pt>
                <c:pt idx="7">
                  <c:v>17</c:v>
                </c:pt>
                <c:pt idx="8">
                  <c:v>17</c:v>
                </c:pt>
                <c:pt idx="9">
                  <c:v>17</c:v>
                </c:pt>
              </c:numCache>
            </c:numRef>
          </c:val>
          <c:extLst xmlns:c16r2="http://schemas.microsoft.com/office/drawing/2015/06/chart">
            <c:ext xmlns:c16="http://schemas.microsoft.com/office/drawing/2014/chart" uri="{C3380CC4-5D6E-409C-BE32-E72D297353CC}">
              <c16:uniqueId val="{00000003-5ED3-4C1B-A7C7-0DB675A1594F}"/>
            </c:ext>
          </c:extLst>
        </c:ser>
        <c:ser>
          <c:idx val="4"/>
          <c:order val="4"/>
          <c:tx>
            <c:strRef>
              <c:f>Hárok2!$A$7</c:f>
              <c:strCache>
                <c:ptCount val="1"/>
                <c:pt idx="0">
                  <c:v>Rumunsko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Hárok2!$B$7:$K$7</c:f>
              <c:numCache>
                <c:formatCode>General</c:formatCode>
                <c:ptCount val="10"/>
                <c:pt idx="0">
                  <c:v>16</c:v>
                </c:pt>
                <c:pt idx="1">
                  <c:v>16</c:v>
                </c:pt>
                <c:pt idx="2">
                  <c:v>16</c:v>
                </c:pt>
                <c:pt idx="3">
                  <c:v>16</c:v>
                </c:pt>
                <c:pt idx="4">
                  <c:v>16</c:v>
                </c:pt>
                <c:pt idx="5">
                  <c:v>16</c:v>
                </c:pt>
                <c:pt idx="6">
                  <c:v>16</c:v>
                </c:pt>
                <c:pt idx="7">
                  <c:v>16</c:v>
                </c:pt>
                <c:pt idx="8">
                  <c:v>16</c:v>
                </c:pt>
                <c:pt idx="9">
                  <c:v>16</c:v>
                </c:pt>
              </c:numCache>
            </c:numRef>
          </c:val>
          <c:extLst xmlns:c16r2="http://schemas.microsoft.com/office/drawing/2015/06/chart">
            <c:ext xmlns:c16="http://schemas.microsoft.com/office/drawing/2014/chart" uri="{C3380CC4-5D6E-409C-BE32-E72D297353CC}">
              <c16:uniqueId val="{00000004-5ED3-4C1B-A7C7-0DB675A1594F}"/>
            </c:ext>
          </c:extLst>
        </c:ser>
        <c:ser>
          <c:idx val="5"/>
          <c:order val="5"/>
          <c:tx>
            <c:strRef>
              <c:f>Hárok2!$A$8</c:f>
              <c:strCache>
                <c:ptCount val="1"/>
                <c:pt idx="0">
                  <c:v>Bulharsko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Hárok2!$B$8:$K$8</c:f>
              <c:numCache>
                <c:formatCode>General</c:formatCode>
                <c:ptCount val="10"/>
                <c:pt idx="0">
                  <c:v>10</c:v>
                </c:pt>
                <c:pt idx="1">
                  <c:v>10</c:v>
                </c:pt>
                <c:pt idx="2">
                  <c:v>10</c:v>
                </c:pt>
                <c:pt idx="3">
                  <c:v>10</c:v>
                </c:pt>
                <c:pt idx="4">
                  <c:v>10</c:v>
                </c:pt>
                <c:pt idx="5">
                  <c:v>10</c:v>
                </c:pt>
                <c:pt idx="6">
                  <c:v>10</c:v>
                </c:pt>
                <c:pt idx="7">
                  <c:v>10</c:v>
                </c:pt>
                <c:pt idx="8">
                  <c:v>10</c:v>
                </c:pt>
                <c:pt idx="9">
                  <c:v>10</c:v>
                </c:pt>
              </c:numCache>
            </c:numRef>
          </c:val>
          <c:extLst xmlns:c16r2="http://schemas.microsoft.com/office/drawing/2015/06/chart">
            <c:ext xmlns:c16="http://schemas.microsoft.com/office/drawing/2014/chart" uri="{C3380CC4-5D6E-409C-BE32-E72D297353CC}">
              <c16:uniqueId val="{00000005-5ED3-4C1B-A7C7-0DB675A1594F}"/>
            </c:ext>
          </c:extLst>
        </c:ser>
        <c:ser>
          <c:idx val="6"/>
          <c:order val="6"/>
          <c:tx>
            <c:strRef>
              <c:f>Hárok2!$A$9</c:f>
              <c:strCache>
                <c:ptCount val="1"/>
                <c:pt idx="0">
                  <c:v>Slovensko</c:v>
                </c:pt>
              </c:strCache>
            </c:strRef>
          </c:tx>
          <c:invertIfNegative val="0"/>
          <c:cat>
            <c:numRef>
              <c:f>Hárok2!$B$2:$K$2</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Hárok2!$B$9:$K$9</c:f>
              <c:numCache>
                <c:formatCode>General</c:formatCode>
                <c:ptCount val="10"/>
                <c:pt idx="0">
                  <c:v>19</c:v>
                </c:pt>
                <c:pt idx="1">
                  <c:v>19</c:v>
                </c:pt>
                <c:pt idx="2">
                  <c:v>19</c:v>
                </c:pt>
                <c:pt idx="3">
                  <c:v>19</c:v>
                </c:pt>
                <c:pt idx="4">
                  <c:v>19</c:v>
                </c:pt>
                <c:pt idx="5">
                  <c:v>19</c:v>
                </c:pt>
                <c:pt idx="6">
                  <c:v>19</c:v>
                </c:pt>
                <c:pt idx="7">
                  <c:v>23</c:v>
                </c:pt>
                <c:pt idx="8">
                  <c:v>22</c:v>
                </c:pt>
                <c:pt idx="9">
                  <c:v>22</c:v>
                </c:pt>
              </c:numCache>
            </c:numRef>
          </c:val>
          <c:extLst xmlns:c16r2="http://schemas.microsoft.com/office/drawing/2015/06/chart">
            <c:ext xmlns:c16="http://schemas.microsoft.com/office/drawing/2014/chart" uri="{C3380CC4-5D6E-409C-BE32-E72D297353CC}">
              <c16:uniqueId val="{00000006-5ED3-4C1B-A7C7-0DB675A1594F}"/>
            </c:ext>
          </c:extLst>
        </c:ser>
        <c:dLbls>
          <c:showLegendKey val="0"/>
          <c:showVal val="0"/>
          <c:showCatName val="0"/>
          <c:showSerName val="0"/>
          <c:showPercent val="0"/>
          <c:showBubbleSize val="0"/>
        </c:dLbls>
        <c:gapWidth val="150"/>
        <c:axId val="24942080"/>
        <c:axId val="24943616"/>
      </c:barChart>
      <c:catAx>
        <c:axId val="24942080"/>
        <c:scaling>
          <c:orientation val="minMax"/>
        </c:scaling>
        <c:delete val="0"/>
        <c:axPos val="b"/>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943616"/>
        <c:crosses val="autoZero"/>
        <c:auto val="1"/>
        <c:lblAlgn val="ctr"/>
        <c:lblOffset val="100"/>
        <c:noMultiLvlLbl val="0"/>
      </c:catAx>
      <c:valAx>
        <c:axId val="24943616"/>
        <c:scaling>
          <c:orientation val="minMax"/>
        </c:scaling>
        <c:delete val="0"/>
        <c:axPos val="l"/>
        <c:majorGridlines/>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24942080"/>
        <c:crosses val="autoZero"/>
        <c:crossBetween val="between"/>
      </c:valAx>
    </c:plotArea>
    <c:legend>
      <c:legendPos val="r"/>
      <c:overlay val="0"/>
      <c:txPr>
        <a:bodyPr/>
        <a:lstStyle/>
        <a:p>
          <a:pPr>
            <a:defRPr sz="1000">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1.0650945427426393E-2"/>
          <c:y val="0.10825453191397556"/>
          <c:w val="0.97815568062557667"/>
          <c:h val="0.50558649241009823"/>
        </c:manualLayout>
      </c:layout>
      <c:pie3DChart>
        <c:varyColors val="1"/>
        <c:ser>
          <c:idx val="0"/>
          <c:order val="0"/>
          <c:tx>
            <c:strRef>
              <c:f>'Štruktúra zdrojov fin.'!$G$2</c:f>
              <c:strCache>
                <c:ptCount val="1"/>
                <c:pt idx="0">
                  <c:v>Podiel na celkovom objeme</c:v>
                </c:pt>
              </c:strCache>
            </c:strRef>
          </c:tx>
          <c:dPt>
            <c:idx val="0"/>
            <c:bubble3D val="0"/>
            <c:extLst xmlns:c16r2="http://schemas.microsoft.com/office/drawing/2015/06/chart">
              <c:ext xmlns:c16="http://schemas.microsoft.com/office/drawing/2014/chart" uri="{C3380CC4-5D6E-409C-BE32-E72D297353CC}">
                <c16:uniqueId val="{00000001-3D80-417B-8B93-A574A69E219D}"/>
              </c:ext>
            </c:extLst>
          </c:dPt>
          <c:dPt>
            <c:idx val="1"/>
            <c:bubble3D val="0"/>
            <c:extLst xmlns:c16r2="http://schemas.microsoft.com/office/drawing/2015/06/chart">
              <c:ext xmlns:c16="http://schemas.microsoft.com/office/drawing/2014/chart" uri="{C3380CC4-5D6E-409C-BE32-E72D297353CC}">
                <c16:uniqueId val="{00000003-3D80-417B-8B93-A574A69E219D}"/>
              </c:ext>
            </c:extLst>
          </c:dPt>
          <c:dPt>
            <c:idx val="2"/>
            <c:bubble3D val="0"/>
            <c:extLst xmlns:c16r2="http://schemas.microsoft.com/office/drawing/2015/06/chart">
              <c:ext xmlns:c16="http://schemas.microsoft.com/office/drawing/2014/chart" uri="{C3380CC4-5D6E-409C-BE32-E72D297353CC}">
                <c16:uniqueId val="{00000005-3D80-417B-8B93-A574A69E219D}"/>
              </c:ext>
            </c:extLst>
          </c:dPt>
          <c:dPt>
            <c:idx val="3"/>
            <c:bubble3D val="0"/>
            <c:extLst xmlns:c16r2="http://schemas.microsoft.com/office/drawing/2015/06/chart">
              <c:ext xmlns:c16="http://schemas.microsoft.com/office/drawing/2014/chart" uri="{C3380CC4-5D6E-409C-BE32-E72D297353CC}">
                <c16:uniqueId val="{00000007-3D80-417B-8B93-A574A69E219D}"/>
              </c:ext>
            </c:extLst>
          </c:dPt>
          <c:dPt>
            <c:idx val="4"/>
            <c:bubble3D val="0"/>
            <c:extLst xmlns:c16r2="http://schemas.microsoft.com/office/drawing/2015/06/chart">
              <c:ext xmlns:c16="http://schemas.microsoft.com/office/drawing/2014/chart" uri="{C3380CC4-5D6E-409C-BE32-E72D297353CC}">
                <c16:uniqueId val="{00000009-3D80-417B-8B93-A574A69E219D}"/>
              </c:ext>
            </c:extLst>
          </c:dPt>
          <c:dPt>
            <c:idx val="5"/>
            <c:bubble3D val="0"/>
            <c:extLst xmlns:c16r2="http://schemas.microsoft.com/office/drawing/2015/06/chart">
              <c:ext xmlns:c16="http://schemas.microsoft.com/office/drawing/2014/chart" uri="{C3380CC4-5D6E-409C-BE32-E72D297353CC}">
                <c16:uniqueId val="{0000000B-3D80-417B-8B93-A574A69E219D}"/>
              </c:ext>
            </c:extLst>
          </c:dPt>
          <c:dPt>
            <c:idx val="6"/>
            <c:bubble3D val="0"/>
            <c:extLst xmlns:c16r2="http://schemas.microsoft.com/office/drawing/2015/06/chart">
              <c:ext xmlns:c16="http://schemas.microsoft.com/office/drawing/2014/chart" uri="{C3380CC4-5D6E-409C-BE32-E72D297353CC}">
                <c16:uniqueId val="{0000000D-3D80-417B-8B93-A574A69E219D}"/>
              </c:ext>
            </c:extLst>
          </c:dPt>
          <c:dPt>
            <c:idx val="7"/>
            <c:bubble3D val="0"/>
            <c:extLst xmlns:c16r2="http://schemas.microsoft.com/office/drawing/2015/06/chart">
              <c:ext xmlns:c16="http://schemas.microsoft.com/office/drawing/2014/chart" uri="{C3380CC4-5D6E-409C-BE32-E72D297353CC}">
                <c16:uniqueId val="{0000000F-3D80-417B-8B93-A574A69E219D}"/>
              </c:ext>
            </c:extLst>
          </c:dPt>
          <c:dPt>
            <c:idx val="8"/>
            <c:bubble3D val="0"/>
            <c:extLst xmlns:c16r2="http://schemas.microsoft.com/office/drawing/2015/06/chart">
              <c:ext xmlns:c16="http://schemas.microsoft.com/office/drawing/2014/chart" uri="{C3380CC4-5D6E-409C-BE32-E72D297353CC}">
                <c16:uniqueId val="{00000011-3D80-417B-8B93-A574A69E219D}"/>
              </c:ext>
            </c:extLst>
          </c:dPt>
          <c:dLbls>
            <c:dLbl>
              <c:idx val="7"/>
              <c:tx>
                <c:rich>
                  <a:bodyPr/>
                  <a:lstStyle/>
                  <a:p>
                    <a:r>
                      <a:rPr lang="en-US" sz="1100"/>
                      <a:t>1,36%</a:t>
                    </a:r>
                    <a:endParaRPr lang="en-US"/>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3D80-417B-8B93-A574A69E219D}"/>
                </c:ext>
              </c:extLst>
            </c:dLbl>
            <c:dLbl>
              <c:idx val="8"/>
              <c:layout>
                <c:manualLayout>
                  <c:x val="5.5114638447971702E-2"/>
                  <c:y val="0"/>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3D80-417B-8B93-A574A69E219D}"/>
                </c:ext>
              </c:extLst>
            </c:dLbl>
            <c:spPr>
              <a:noFill/>
              <a:ln>
                <a:noFill/>
              </a:ln>
              <a:effectLst/>
            </c:spPr>
            <c:txPr>
              <a:bodyPr rot="0" vert="horz"/>
              <a:lstStyle/>
              <a:p>
                <a:pPr>
                  <a:defRPr/>
                </a:pPr>
                <a:endParaRPr lang="sk-SK"/>
              </a:p>
            </c:txPr>
            <c:dLblPos val="outEnd"/>
            <c:showLegendKey val="0"/>
            <c:showVal val="1"/>
            <c:showCatName val="0"/>
            <c:showSerName val="0"/>
            <c:showPercent val="0"/>
            <c:showBubbleSize val="0"/>
            <c:showLeaderLines val="1"/>
            <c:extLst xmlns:c15="http://schemas.microsoft.com/office/drawing/2012/chart" xmlns:c16r2="http://schemas.microsoft.com/office/drawing/2015/06/chart">
              <c:ext xmlns:c15="http://schemas.microsoft.com/office/drawing/2012/chart" uri="{CE6537A1-D6FC-4f65-9D91-7224C49458BB}"/>
            </c:extLst>
          </c:dLbls>
          <c:cat>
            <c:strRef>
              <c:f>'Štruktúra zdrojov fin.'!$A$3:$A$11</c:f>
              <c:strCache>
                <c:ptCount val="9"/>
                <c:pt idx="0">
                  <c:v>Granty EÚ</c:v>
                </c:pt>
                <c:pt idx="1">
                  <c:v>Podpora v rámci SPP</c:v>
                </c:pt>
                <c:pt idx="2">
                  <c:v>Dotácie zo ŠR</c:v>
                </c:pt>
                <c:pt idx="3">
                  <c:v>Opatrenia aktívnej politiky trhu práce</c:v>
                </c:pt>
                <c:pt idx="4">
                  <c:v>Úvery s podporou EÚ</c:v>
                </c:pt>
                <c:pt idx="5">
                  <c:v>Úvery zo zdrojov ŠR</c:v>
                </c:pt>
                <c:pt idx="6">
                  <c:v>Záruky</c:v>
                </c:pt>
                <c:pt idx="7">
                  <c:v>Rizikový kapitál</c:v>
                </c:pt>
                <c:pt idx="8">
                  <c:v>Stimuly</c:v>
                </c:pt>
              </c:strCache>
            </c:strRef>
          </c:cat>
          <c:val>
            <c:numRef>
              <c:f>'Štruktúra zdrojov fin.'!$G$3:$G$11</c:f>
              <c:numCache>
                <c:formatCode>0.00%</c:formatCode>
                <c:ptCount val="9"/>
                <c:pt idx="0">
                  <c:v>0.32047483978538849</c:v>
                </c:pt>
                <c:pt idx="1">
                  <c:v>8.0662970593951333E-2</c:v>
                </c:pt>
                <c:pt idx="2">
                  <c:v>9.4913644652511054E-3</c:v>
                </c:pt>
                <c:pt idx="3">
                  <c:v>0.12288955652403304</c:v>
                </c:pt>
                <c:pt idx="4">
                  <c:v>0.18910028306392426</c:v>
                </c:pt>
                <c:pt idx="5">
                  <c:v>0.21339900815628093</c:v>
                </c:pt>
                <c:pt idx="6">
                  <c:v>4.9977096663281359E-2</c:v>
                </c:pt>
                <c:pt idx="7">
                  <c:v>1.3760025443902892E-2</c:v>
                </c:pt>
                <c:pt idx="8">
                  <c:v>2.4485530398652295E-4</c:v>
                </c:pt>
              </c:numCache>
            </c:numRef>
          </c:val>
          <c:extLst xmlns:c15="http://schemas.microsoft.com/office/drawing/2012/chart" xmlns:c16r2="http://schemas.microsoft.com/office/drawing/2015/06/chart">
            <c:ext xmlns:c16="http://schemas.microsoft.com/office/drawing/2014/chart" uri="{C3380CC4-5D6E-409C-BE32-E72D297353CC}">
              <c16:uniqueId val="{00000012-3D80-417B-8B93-A574A69E219D}"/>
            </c:ext>
          </c:extLst>
        </c:ser>
        <c:dLbls>
          <c:dLblPos val="outEnd"/>
          <c:showLegendKey val="0"/>
          <c:showVal val="0"/>
          <c:showCatName val="1"/>
          <c:showSerName val="0"/>
          <c:showPercent val="0"/>
          <c:showBubbleSize val="0"/>
          <c:showLeaderLines val="1"/>
        </c:dLbls>
        <c:extLst xmlns:c16r2="http://schemas.microsoft.com/office/drawing/2015/06/chart"/>
      </c:pie3DChart>
    </c:plotArea>
    <c:legend>
      <c:legendPos val="b"/>
      <c:layout>
        <c:manualLayout>
          <c:xMode val="edge"/>
          <c:yMode val="edge"/>
          <c:x val="2.0229589356885947E-2"/>
          <c:y val="0.76788777264910857"/>
          <c:w val="0.96654289741560062"/>
          <c:h val="0.19192035163178048"/>
        </c:manualLayout>
      </c:layout>
      <c:overlay val="0"/>
      <c:txPr>
        <a:bodyPr rot="0" vert="horz"/>
        <a:lstStyle/>
        <a:p>
          <a:pPr>
            <a:defRPr sz="1100">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Hárok1!$A$6</c:f>
              <c:strCache>
                <c:ptCount val="1"/>
                <c:pt idx="0">
                  <c:v>Cena (€/kWh)</c:v>
                </c:pt>
              </c:strCache>
            </c:strRef>
          </c:tx>
          <c:spPr>
            <a:ln>
              <a:solidFill>
                <a:srgbClr val="9BBB59"/>
              </a:solidFill>
            </a:ln>
          </c:spPr>
          <c:marker>
            <c:symbol val="none"/>
          </c:marker>
          <c:dPt>
            <c:idx val="0"/>
            <c:bubble3D val="0"/>
            <c:extLst xmlns:c16r2="http://schemas.microsoft.com/office/drawing/2015/06/chart">
              <c:ext xmlns:c16="http://schemas.microsoft.com/office/drawing/2014/chart" uri="{C3380CC4-5D6E-409C-BE32-E72D297353CC}">
                <c16:uniqueId val="{00000001-E07A-49E8-8433-A89A21CD63A7}"/>
              </c:ext>
            </c:extLst>
          </c:dPt>
          <c:xVal>
            <c:numRef>
              <c:f>Hárok1!$B$5:$J$5</c:f>
              <c:numCache>
                <c:formatCode>General</c:formatCode>
                <c:ptCount val="9"/>
                <c:pt idx="0">
                  <c:v>2008</c:v>
                </c:pt>
                <c:pt idx="1">
                  <c:v>2009</c:v>
                </c:pt>
                <c:pt idx="2">
                  <c:v>2010</c:v>
                </c:pt>
                <c:pt idx="3">
                  <c:v>2011</c:v>
                </c:pt>
                <c:pt idx="4">
                  <c:v>2012</c:v>
                </c:pt>
                <c:pt idx="5">
                  <c:v>2013</c:v>
                </c:pt>
                <c:pt idx="6">
                  <c:v>2014</c:v>
                </c:pt>
                <c:pt idx="7">
                  <c:v>2015</c:v>
                </c:pt>
                <c:pt idx="8">
                  <c:v>2016</c:v>
                </c:pt>
              </c:numCache>
            </c:numRef>
          </c:xVal>
          <c:yVal>
            <c:numRef>
              <c:f>Hárok1!$B$6:$J$6</c:f>
              <c:numCache>
                <c:formatCode>#,##0.0000</c:formatCode>
                <c:ptCount val="9"/>
                <c:pt idx="0">
                  <c:v>0.10829999999999999</c:v>
                </c:pt>
                <c:pt idx="1">
                  <c:v>0.1263</c:v>
                </c:pt>
                <c:pt idx="2">
                  <c:v>0.10450000000000002</c:v>
                </c:pt>
                <c:pt idx="3">
                  <c:v>0.1113</c:v>
                </c:pt>
                <c:pt idx="4">
                  <c:v>0.11749999999999998</c:v>
                </c:pt>
                <c:pt idx="5">
                  <c:v>0.1139</c:v>
                </c:pt>
                <c:pt idx="6">
                  <c:v>9.9200000000000024E-2</c:v>
                </c:pt>
                <c:pt idx="7">
                  <c:v>9.650000000000003E-2</c:v>
                </c:pt>
                <c:pt idx="8">
                  <c:v>9.2300000000000021E-2</c:v>
                </c:pt>
              </c:numCache>
            </c:numRef>
          </c:yVal>
          <c:smooth val="0"/>
          <c:extLst xmlns:c16r2="http://schemas.microsoft.com/office/drawing/2015/06/chart">
            <c:ext xmlns:c16="http://schemas.microsoft.com/office/drawing/2014/chart" uri="{C3380CC4-5D6E-409C-BE32-E72D297353CC}">
              <c16:uniqueId val="{00000003-E07A-49E8-8433-A89A21CD63A7}"/>
            </c:ext>
          </c:extLst>
        </c:ser>
        <c:dLbls>
          <c:showLegendKey val="0"/>
          <c:showVal val="0"/>
          <c:showCatName val="0"/>
          <c:showSerName val="0"/>
          <c:showPercent val="0"/>
          <c:showBubbleSize val="0"/>
        </c:dLbls>
        <c:axId val="59284480"/>
        <c:axId val="59286656"/>
      </c:scatterChart>
      <c:valAx>
        <c:axId val="59284480"/>
        <c:scaling>
          <c:orientation val="minMax"/>
        </c:scaling>
        <c:delete val="0"/>
        <c:axPos val="b"/>
        <c:numFmt formatCode="General" sourceLinked="1"/>
        <c:majorTickMark val="out"/>
        <c:minorTickMark val="none"/>
        <c:tickLblPos val="nextTo"/>
        <c:txPr>
          <a:bodyPr rot="0" vert="horz"/>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sk-SK"/>
          </a:p>
        </c:txPr>
        <c:crossAx val="59286656"/>
        <c:crosses val="autoZero"/>
        <c:crossBetween val="midCat"/>
      </c:valAx>
      <c:valAx>
        <c:axId val="59286656"/>
        <c:scaling>
          <c:orientation val="minMax"/>
        </c:scaling>
        <c:delete val="0"/>
        <c:axPos val="l"/>
        <c:majorGridlines/>
        <c:numFmt formatCode="#,##0.0000"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59284480"/>
        <c:crosses val="autoZero"/>
        <c:crossBetween val="midCat"/>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Hárok1!$A$4</c:f>
              <c:strCache>
                <c:ptCount val="1"/>
                <c:pt idx="0">
                  <c:v>Cena (€/kWh)</c:v>
                </c:pt>
              </c:strCache>
            </c:strRef>
          </c:tx>
          <c:spPr>
            <a:ln>
              <a:solidFill>
                <a:srgbClr val="9BBB59"/>
              </a:solidFill>
            </a:ln>
          </c:spPr>
          <c:marker>
            <c:symbol val="none"/>
          </c:marker>
          <c:xVal>
            <c:numRef>
              <c:f>Hárok1!$B$3:$J$3</c:f>
              <c:numCache>
                <c:formatCode>General</c:formatCode>
                <c:ptCount val="9"/>
                <c:pt idx="0">
                  <c:v>2008</c:v>
                </c:pt>
                <c:pt idx="1">
                  <c:v>2009</c:v>
                </c:pt>
                <c:pt idx="2">
                  <c:v>2010</c:v>
                </c:pt>
                <c:pt idx="3">
                  <c:v>2011</c:v>
                </c:pt>
                <c:pt idx="4">
                  <c:v>2012</c:v>
                </c:pt>
                <c:pt idx="5">
                  <c:v>2013</c:v>
                </c:pt>
                <c:pt idx="6">
                  <c:v>2014</c:v>
                </c:pt>
                <c:pt idx="7">
                  <c:v>2015</c:v>
                </c:pt>
                <c:pt idx="8">
                  <c:v>2016</c:v>
                </c:pt>
              </c:numCache>
            </c:numRef>
          </c:xVal>
          <c:yVal>
            <c:numRef>
              <c:f>Hárok1!$B$4:$J$4</c:f>
              <c:numCache>
                <c:formatCode>#,##0.0000</c:formatCode>
                <c:ptCount val="9"/>
                <c:pt idx="0">
                  <c:v>3.3399999999999999E-2</c:v>
                </c:pt>
                <c:pt idx="1">
                  <c:v>4.0000000000000015E-2</c:v>
                </c:pt>
                <c:pt idx="2">
                  <c:v>3.15E-2</c:v>
                </c:pt>
                <c:pt idx="3">
                  <c:v>3.32E-2</c:v>
                </c:pt>
                <c:pt idx="4">
                  <c:v>3.8199999999999998E-2</c:v>
                </c:pt>
                <c:pt idx="5">
                  <c:v>3.5600000000000014E-2</c:v>
                </c:pt>
                <c:pt idx="6">
                  <c:v>3.570000000000001E-2</c:v>
                </c:pt>
                <c:pt idx="7">
                  <c:v>3.3399999999999999E-2</c:v>
                </c:pt>
                <c:pt idx="8">
                  <c:v>2.9200000000000007E-2</c:v>
                </c:pt>
              </c:numCache>
            </c:numRef>
          </c:yVal>
          <c:smooth val="0"/>
          <c:extLst xmlns:c16r2="http://schemas.microsoft.com/office/drawing/2015/06/chart">
            <c:ext xmlns:c16="http://schemas.microsoft.com/office/drawing/2014/chart" uri="{C3380CC4-5D6E-409C-BE32-E72D297353CC}">
              <c16:uniqueId val="{00000000-D4B3-4EAA-B0B6-86713B4F3F47}"/>
            </c:ext>
          </c:extLst>
        </c:ser>
        <c:dLbls>
          <c:showLegendKey val="0"/>
          <c:showVal val="0"/>
          <c:showCatName val="0"/>
          <c:showSerName val="0"/>
          <c:showPercent val="0"/>
          <c:showBubbleSize val="0"/>
        </c:dLbls>
        <c:axId val="68421504"/>
        <c:axId val="68423040"/>
      </c:scatterChart>
      <c:valAx>
        <c:axId val="68421504"/>
        <c:scaling>
          <c:orientation val="minMax"/>
        </c:scaling>
        <c:delete val="0"/>
        <c:axPos val="b"/>
        <c:numFmt formatCode="General" sourceLinked="1"/>
        <c:majorTickMark val="out"/>
        <c:minorTickMark val="none"/>
        <c:tickLblPos val="nextTo"/>
        <c:txPr>
          <a:bodyPr rot="0" vert="horz"/>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sk-SK"/>
          </a:p>
        </c:txPr>
        <c:crossAx val="68423040"/>
        <c:crosses val="autoZero"/>
        <c:crossBetween val="midCat"/>
      </c:valAx>
      <c:valAx>
        <c:axId val="68423040"/>
        <c:scaling>
          <c:orientation val="minMax"/>
        </c:scaling>
        <c:delete val="0"/>
        <c:axPos val="l"/>
        <c:majorGridlines/>
        <c:numFmt formatCode="#,##0.0000"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68421504"/>
        <c:crosses val="autoZero"/>
        <c:crossBetween val="midCat"/>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Hárok1!$B$8</c:f>
              <c:strCache>
                <c:ptCount val="1"/>
                <c:pt idx="0">
                  <c:v>2015S2</c:v>
                </c:pt>
              </c:strCache>
            </c:strRef>
          </c:tx>
          <c:invertIfNegative val="0"/>
          <c:cat>
            <c:strRef>
              <c:f>Hárok1!$A$9:$A$12</c:f>
              <c:strCache>
                <c:ptCount val="4"/>
                <c:pt idx="0">
                  <c:v>Česká republika</c:v>
                </c:pt>
                <c:pt idx="1">
                  <c:v>Maďarsko</c:v>
                </c:pt>
                <c:pt idx="2">
                  <c:v>Poľsko</c:v>
                </c:pt>
                <c:pt idx="3">
                  <c:v>Slovensko</c:v>
                </c:pt>
              </c:strCache>
            </c:strRef>
          </c:cat>
          <c:val>
            <c:numRef>
              <c:f>Hárok1!$B$9:$B$12</c:f>
              <c:numCache>
                <c:formatCode>#,##0.0000</c:formatCode>
                <c:ptCount val="4"/>
                <c:pt idx="0">
                  <c:v>7.0900000000000005E-2</c:v>
                </c:pt>
                <c:pt idx="1">
                  <c:v>7.6700000000000004E-2</c:v>
                </c:pt>
                <c:pt idx="2">
                  <c:v>7.0499999999999993E-2</c:v>
                </c:pt>
                <c:pt idx="3">
                  <c:v>9.4100000000000003E-2</c:v>
                </c:pt>
              </c:numCache>
            </c:numRef>
          </c:val>
          <c:extLst xmlns:c16r2="http://schemas.microsoft.com/office/drawing/2015/06/chart">
            <c:ext xmlns:c16="http://schemas.microsoft.com/office/drawing/2014/chart" uri="{C3380CC4-5D6E-409C-BE32-E72D297353CC}">
              <c16:uniqueId val="{00000000-F67D-406F-A3E0-20587CB36ED4}"/>
            </c:ext>
          </c:extLst>
        </c:ser>
        <c:dLbls>
          <c:showLegendKey val="0"/>
          <c:showVal val="0"/>
          <c:showCatName val="0"/>
          <c:showSerName val="0"/>
          <c:showPercent val="0"/>
          <c:showBubbleSize val="0"/>
        </c:dLbls>
        <c:gapWidth val="150"/>
        <c:axId val="90317184"/>
        <c:axId val="90649344"/>
      </c:barChart>
      <c:catAx>
        <c:axId val="90317184"/>
        <c:scaling>
          <c:orientation val="minMax"/>
        </c:scaling>
        <c:delete val="0"/>
        <c:axPos val="b"/>
        <c:numFmt formatCode="General"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90649344"/>
        <c:crosses val="autoZero"/>
        <c:auto val="1"/>
        <c:lblAlgn val="ctr"/>
        <c:lblOffset val="100"/>
        <c:noMultiLvlLbl val="0"/>
      </c:catAx>
      <c:valAx>
        <c:axId val="90649344"/>
        <c:scaling>
          <c:orientation val="minMax"/>
        </c:scaling>
        <c:delete val="0"/>
        <c:axPos val="l"/>
        <c:majorGridlines/>
        <c:numFmt formatCode="#,##0.0000"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90317184"/>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Hárok1!$B$8</c:f>
              <c:strCache>
                <c:ptCount val="1"/>
                <c:pt idx="0">
                  <c:v>2015S2</c:v>
                </c:pt>
              </c:strCache>
            </c:strRef>
          </c:tx>
          <c:invertIfNegative val="0"/>
          <c:cat>
            <c:strRef>
              <c:f>Hárok1!$A$9:$A$12</c:f>
              <c:strCache>
                <c:ptCount val="4"/>
                <c:pt idx="0">
                  <c:v>Česká republika</c:v>
                </c:pt>
                <c:pt idx="1">
                  <c:v>Maďarsko</c:v>
                </c:pt>
                <c:pt idx="2">
                  <c:v>Poľsko</c:v>
                </c:pt>
                <c:pt idx="3">
                  <c:v>Slovensko</c:v>
                </c:pt>
              </c:strCache>
            </c:strRef>
          </c:cat>
          <c:val>
            <c:numRef>
              <c:f>Hárok1!$B$9:$B$12</c:f>
              <c:numCache>
                <c:formatCode>#,##0.0000</c:formatCode>
                <c:ptCount val="4"/>
                <c:pt idx="0">
                  <c:v>2.8299999999999999E-2</c:v>
                </c:pt>
                <c:pt idx="1">
                  <c:v>3.2000000000000001E-2</c:v>
                </c:pt>
                <c:pt idx="2">
                  <c:v>3.32E-2</c:v>
                </c:pt>
                <c:pt idx="3">
                  <c:v>3.3300000000000003E-2</c:v>
                </c:pt>
              </c:numCache>
            </c:numRef>
          </c:val>
          <c:extLst xmlns:c16r2="http://schemas.microsoft.com/office/drawing/2015/06/chart">
            <c:ext xmlns:c16="http://schemas.microsoft.com/office/drawing/2014/chart" uri="{C3380CC4-5D6E-409C-BE32-E72D297353CC}">
              <c16:uniqueId val="{00000000-BF29-4F7D-BF34-B9F5709D8BA2}"/>
            </c:ext>
          </c:extLst>
        </c:ser>
        <c:dLbls>
          <c:showLegendKey val="0"/>
          <c:showVal val="0"/>
          <c:showCatName val="0"/>
          <c:showSerName val="0"/>
          <c:showPercent val="0"/>
          <c:showBubbleSize val="0"/>
        </c:dLbls>
        <c:gapWidth val="150"/>
        <c:axId val="106506496"/>
        <c:axId val="106545536"/>
      </c:barChart>
      <c:catAx>
        <c:axId val="106506496"/>
        <c:scaling>
          <c:orientation val="minMax"/>
        </c:scaling>
        <c:delete val="0"/>
        <c:axPos val="b"/>
        <c:numFmt formatCode="General"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106545536"/>
        <c:crosses val="autoZero"/>
        <c:auto val="1"/>
        <c:lblAlgn val="ctr"/>
        <c:lblOffset val="100"/>
        <c:noMultiLvlLbl val="0"/>
      </c:catAx>
      <c:valAx>
        <c:axId val="106545536"/>
        <c:scaling>
          <c:orientation val="minMax"/>
        </c:scaling>
        <c:delete val="0"/>
        <c:axPos val="l"/>
        <c:majorGridlines/>
        <c:numFmt formatCode="#,##0.0000"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sk-SK"/>
          </a:p>
        </c:txPr>
        <c:crossAx val="106506496"/>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barChart>
        <c:barDir val="col"/>
        <c:grouping val="clustered"/>
        <c:varyColors val="0"/>
        <c:ser>
          <c:idx val="0"/>
          <c:order val="0"/>
          <c:invertIfNegative val="0"/>
          <c:dPt>
            <c:idx val="25"/>
            <c:invertIfNegative val="0"/>
            <c:bubble3D val="0"/>
            <c:spPr>
              <a:solidFill>
                <a:srgbClr val="FF0000"/>
              </a:solidFill>
            </c:spPr>
            <c:extLst xmlns:c16r2="http://schemas.microsoft.com/office/drawing/2015/06/chart">
              <c:ext xmlns:c16="http://schemas.microsoft.com/office/drawing/2014/chart" uri="{C3380CC4-5D6E-409C-BE32-E72D297353CC}">
                <c16:uniqueId val="{00000001-E708-4987-91CC-7C9F28048F91}"/>
              </c:ext>
            </c:extLst>
          </c:dPt>
          <c:cat>
            <c:strRef>
              <c:f>Data!$A$14:$A$52</c:f>
              <c:strCache>
                <c:ptCount val="39"/>
                <c:pt idx="0">
                  <c:v>Island</c:v>
                </c:pt>
                <c:pt idx="1">
                  <c:v>Bosna a Herzegovina</c:v>
                </c:pt>
                <c:pt idx="2">
                  <c:v>Švédsko</c:v>
                </c:pt>
                <c:pt idx="3">
                  <c:v>Srbsko</c:v>
                </c:pt>
                <c:pt idx="4">
                  <c:v>Turecko</c:v>
                </c:pt>
                <c:pt idx="5">
                  <c:v>Nórsko</c:v>
                </c:pt>
                <c:pt idx="6">
                  <c:v>Fínsko</c:v>
                </c:pt>
                <c:pt idx="7">
                  <c:v>Čierna Hora</c:v>
                </c:pt>
                <c:pt idx="8">
                  <c:v>Moldavsko</c:v>
                </c:pt>
                <c:pt idx="9">
                  <c:v>Kosovo</c:v>
                </c:pt>
                <c:pt idx="10">
                  <c:v>Bulharsko</c:v>
                </c:pt>
                <c:pt idx="11">
                  <c:v>Česká republika</c:v>
                </c:pt>
                <c:pt idx="12">
                  <c:v>Luxemburg</c:v>
                </c:pt>
                <c:pt idx="13">
                  <c:v>Rumunsko</c:v>
                </c:pt>
                <c:pt idx="14">
                  <c:v>Holandsko</c:v>
                </c:pt>
                <c:pt idx="15">
                  <c:v>Polsko</c:v>
                </c:pt>
                <c:pt idx="16">
                  <c:v>Slovinsko</c:v>
                </c:pt>
                <c:pt idx="17">
                  <c:v>Maďarsko</c:v>
                </c:pt>
                <c:pt idx="18">
                  <c:v>Estónsko</c:v>
                </c:pt>
                <c:pt idx="19">
                  <c:v>Francúzsko</c:v>
                </c:pt>
                <c:pt idx="20">
                  <c:v>Chorvátsko</c:v>
                </c:pt>
                <c:pt idx="21">
                  <c:v>Litva</c:v>
                </c:pt>
                <c:pt idx="22">
                  <c:v>Rakúsko</c:v>
                </c:pt>
                <c:pt idx="23">
                  <c:v>Belgicko</c:v>
                </c:pt>
                <c:pt idx="24">
                  <c:v>Grécko</c:v>
                </c:pt>
                <c:pt idx="25">
                  <c:v>Slovensko</c:v>
                </c:pt>
                <c:pt idx="26">
                  <c:v>Španielsko</c:v>
                </c:pt>
                <c:pt idx="27">
                  <c:v>Portugalsko</c:v>
                </c:pt>
                <c:pt idx="28">
                  <c:v>Lotyšsko</c:v>
                </c:pt>
                <c:pt idx="29">
                  <c:v>EU 28</c:v>
                </c:pt>
                <c:pt idx="30">
                  <c:v>EU 27</c:v>
                </c:pt>
                <c:pt idx="31">
                  <c:v>Malta</c:v>
                </c:pt>
                <c:pt idx="32">
                  <c:v>Írsko</c:v>
                </c:pt>
                <c:pt idx="33">
                  <c:v>Cyprus</c:v>
                </c:pt>
                <c:pt idx="34">
                  <c:v>Lichtenštajnsko</c:v>
                </c:pt>
                <c:pt idx="35">
                  <c:v>Veľká Británia</c:v>
                </c:pt>
                <c:pt idx="36">
                  <c:v>Taliansko</c:v>
                </c:pt>
                <c:pt idx="37">
                  <c:v>Nemecko</c:v>
                </c:pt>
                <c:pt idx="38">
                  <c:v>Dánsko</c:v>
                </c:pt>
              </c:strCache>
            </c:strRef>
          </c:cat>
          <c:val>
            <c:numRef>
              <c:f>Data!$B$14:$B$52</c:f>
              <c:numCache>
                <c:formatCode>#,##0.0000</c:formatCode>
                <c:ptCount val="39"/>
                <c:pt idx="0">
                  <c:v>3.5400000000000001E-2</c:v>
                </c:pt>
                <c:pt idx="1">
                  <c:v>7.17E-2</c:v>
                </c:pt>
                <c:pt idx="2">
                  <c:v>7.3800000000000004E-2</c:v>
                </c:pt>
                <c:pt idx="3">
                  <c:v>8.1299999999999997E-2</c:v>
                </c:pt>
                <c:pt idx="4">
                  <c:v>8.2900000000000001E-2</c:v>
                </c:pt>
                <c:pt idx="5">
                  <c:v>8.5599999999999996E-2</c:v>
                </c:pt>
                <c:pt idx="6">
                  <c:v>8.7499999999999994E-2</c:v>
                </c:pt>
                <c:pt idx="7">
                  <c:v>9.0899999999999995E-2</c:v>
                </c:pt>
                <c:pt idx="8">
                  <c:v>9.1499999999999998E-2</c:v>
                </c:pt>
                <c:pt idx="9">
                  <c:v>9.1700000000000004E-2</c:v>
                </c:pt>
                <c:pt idx="10">
                  <c:v>9.3899999999999997E-2</c:v>
                </c:pt>
                <c:pt idx="11">
                  <c:v>9.4700000000000006E-2</c:v>
                </c:pt>
                <c:pt idx="12">
                  <c:v>9.6500000000000002E-2</c:v>
                </c:pt>
                <c:pt idx="13">
                  <c:v>9.8900000000000002E-2</c:v>
                </c:pt>
                <c:pt idx="14">
                  <c:v>0.1024</c:v>
                </c:pt>
                <c:pt idx="15">
                  <c:v>0.10589999999999999</c:v>
                </c:pt>
                <c:pt idx="16">
                  <c:v>0.1061</c:v>
                </c:pt>
                <c:pt idx="17">
                  <c:v>0.1084</c:v>
                </c:pt>
                <c:pt idx="18">
                  <c:v>0.11169999999999999</c:v>
                </c:pt>
                <c:pt idx="19">
                  <c:v>0.1139</c:v>
                </c:pt>
                <c:pt idx="20">
                  <c:v>0.1159</c:v>
                </c:pt>
                <c:pt idx="21">
                  <c:v>0.1205</c:v>
                </c:pt>
                <c:pt idx="22">
                  <c:v>0.126</c:v>
                </c:pt>
                <c:pt idx="23">
                  <c:v>0.12970000000000001</c:v>
                </c:pt>
                <c:pt idx="24">
                  <c:v>0.12989999999999999</c:v>
                </c:pt>
                <c:pt idx="25">
                  <c:v>0.1346</c:v>
                </c:pt>
                <c:pt idx="26">
                  <c:v>0.1371</c:v>
                </c:pt>
                <c:pt idx="27">
                  <c:v>0.14199999999999999</c:v>
                </c:pt>
                <c:pt idx="28">
                  <c:v>0.14319999999999999</c:v>
                </c:pt>
                <c:pt idx="29">
                  <c:v>0.1474</c:v>
                </c:pt>
                <c:pt idx="30">
                  <c:v>0.14749999999999999</c:v>
                </c:pt>
                <c:pt idx="31">
                  <c:v>0.14749999999999999</c:v>
                </c:pt>
                <c:pt idx="32">
                  <c:v>0.15310000000000001</c:v>
                </c:pt>
                <c:pt idx="33">
                  <c:v>0.1668</c:v>
                </c:pt>
                <c:pt idx="34">
                  <c:v>0.1741</c:v>
                </c:pt>
                <c:pt idx="35">
                  <c:v>0.18229999999999999</c:v>
                </c:pt>
                <c:pt idx="36">
                  <c:v>0.1855</c:v>
                </c:pt>
                <c:pt idx="37">
                  <c:v>0.19600000000000001</c:v>
                </c:pt>
                <c:pt idx="38">
                  <c:v>0.25990000000000002</c:v>
                </c:pt>
              </c:numCache>
            </c:numRef>
          </c:val>
          <c:extLst xmlns:c16r2="http://schemas.microsoft.com/office/drawing/2015/06/chart">
            <c:ext xmlns:c16="http://schemas.microsoft.com/office/drawing/2014/chart" uri="{C3380CC4-5D6E-409C-BE32-E72D297353CC}">
              <c16:uniqueId val="{00000002-E708-4987-91CC-7C9F28048F91}"/>
            </c:ext>
          </c:extLst>
        </c:ser>
        <c:dLbls>
          <c:showLegendKey val="0"/>
          <c:showVal val="0"/>
          <c:showCatName val="0"/>
          <c:showSerName val="0"/>
          <c:showPercent val="0"/>
          <c:showBubbleSize val="0"/>
        </c:dLbls>
        <c:gapWidth val="150"/>
        <c:axId val="107397504"/>
        <c:axId val="107399040"/>
      </c:barChart>
      <c:catAx>
        <c:axId val="107397504"/>
        <c:scaling>
          <c:orientation val="minMax"/>
        </c:scaling>
        <c:delete val="0"/>
        <c:axPos val="b"/>
        <c:numFmt formatCode="General" sourceLinked="0"/>
        <c:majorTickMark val="out"/>
        <c:minorTickMark val="none"/>
        <c:tickLblPos val="nextTo"/>
        <c:txPr>
          <a:bodyPr/>
          <a:lstStyle/>
          <a:p>
            <a:pPr>
              <a:defRPr sz="900">
                <a:latin typeface="Times New Roman" panose="02020603050405020304" pitchFamily="18" charset="0"/>
                <a:cs typeface="Times New Roman" panose="02020603050405020304" pitchFamily="18" charset="0"/>
              </a:defRPr>
            </a:pPr>
            <a:endParaRPr lang="sk-SK"/>
          </a:p>
        </c:txPr>
        <c:crossAx val="107399040"/>
        <c:crosses val="autoZero"/>
        <c:auto val="1"/>
        <c:lblAlgn val="ctr"/>
        <c:lblOffset val="100"/>
        <c:noMultiLvlLbl val="0"/>
      </c:catAx>
      <c:valAx>
        <c:axId val="107399040"/>
        <c:scaling>
          <c:orientation val="minMax"/>
        </c:scaling>
        <c:delete val="0"/>
        <c:axPos val="l"/>
        <c:majorGridlines/>
        <c:numFmt formatCode="#,##0.0000" sourceLinked="1"/>
        <c:majorTickMark val="out"/>
        <c:minorTickMark val="none"/>
        <c:tickLblPos val="nextTo"/>
        <c:crossAx val="107397504"/>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barChart>
        <c:barDir val="col"/>
        <c:grouping val="clustered"/>
        <c:varyColors val="0"/>
        <c:ser>
          <c:idx val="0"/>
          <c:order val="0"/>
          <c:invertIfNegative val="0"/>
          <c:dPt>
            <c:idx val="19"/>
            <c:invertIfNegative val="0"/>
            <c:bubble3D val="0"/>
            <c:spPr>
              <a:solidFill>
                <a:srgbClr val="FF0000"/>
              </a:solidFill>
            </c:spPr>
            <c:extLst xmlns:c16r2="http://schemas.microsoft.com/office/drawing/2015/06/chart">
              <c:ext xmlns:c16="http://schemas.microsoft.com/office/drawing/2014/chart" uri="{C3380CC4-5D6E-409C-BE32-E72D297353CC}">
                <c16:uniqueId val="{00000001-D1D2-4630-AD3F-C4D4CE2E78D0}"/>
              </c:ext>
            </c:extLst>
          </c:dPt>
          <c:cat>
            <c:strRef>
              <c:f>'[Plyn podnikatelia 2015 vrátane daní a poplatkov.xls]Data'!$A$14:$A$46</c:f>
              <c:strCache>
                <c:ptCount val="33"/>
                <c:pt idx="0">
                  <c:v>Lotyšsko</c:v>
                </c:pt>
                <c:pt idx="1">
                  <c:v>Moldavsko</c:v>
                </c:pt>
                <c:pt idx="2">
                  <c:v>Turecko</c:v>
                </c:pt>
                <c:pt idx="3">
                  <c:v>Bulharsko</c:v>
                </c:pt>
                <c:pt idx="4">
                  <c:v>Estónsko</c:v>
                </c:pt>
                <c:pt idx="5">
                  <c:v>Belgicko</c:v>
                </c:pt>
                <c:pt idx="6">
                  <c:v>Taliansko</c:v>
                </c:pt>
                <c:pt idx="7">
                  <c:v>Česká republika</c:v>
                </c:pt>
                <c:pt idx="8">
                  <c:v>Litvia</c:v>
                </c:pt>
                <c:pt idx="9">
                  <c:v>Rumunsko</c:v>
                </c:pt>
                <c:pt idx="10">
                  <c:v>Španielsko</c:v>
                </c:pt>
                <c:pt idx="11">
                  <c:v>Holandsko</c:v>
                </c:pt>
                <c:pt idx="12">
                  <c:v>Srbsko</c:v>
                </c:pt>
                <c:pt idx="13">
                  <c:v>Luxembursko</c:v>
                </c:pt>
                <c:pt idx="14">
                  <c:v>Grécko</c:v>
                </c:pt>
                <c:pt idx="15">
                  <c:v>Írsko</c:v>
                </c:pt>
                <c:pt idx="16">
                  <c:v>EU 28</c:v>
                </c:pt>
                <c:pt idx="17">
                  <c:v>EU 27</c:v>
                </c:pt>
                <c:pt idx="18">
                  <c:v>Poľsko</c:v>
                </c:pt>
                <c:pt idx="19">
                  <c:v>Slovensko</c:v>
                </c:pt>
                <c:pt idx="20">
                  <c:v>Veľká Británia</c:v>
                </c:pt>
                <c:pt idx="21">
                  <c:v>Francúzsko</c:v>
                </c:pt>
                <c:pt idx="22">
                  <c:v>Maďarsko</c:v>
                </c:pt>
                <c:pt idx="23">
                  <c:v>Chorvátsko</c:v>
                </c:pt>
                <c:pt idx="24">
                  <c:v>Nemecko</c:v>
                </c:pt>
                <c:pt idx="25">
                  <c:v>Slovinsko</c:v>
                </c:pt>
                <c:pt idx="26">
                  <c:v>Portugalsko</c:v>
                </c:pt>
                <c:pt idx="27">
                  <c:v>Rakúsko</c:v>
                </c:pt>
                <c:pt idx="28">
                  <c:v>Fínsko</c:v>
                </c:pt>
                <c:pt idx="29">
                  <c:v>Bosna a Herzegovina</c:v>
                </c:pt>
                <c:pt idx="30">
                  <c:v>Lichtejštajnsko</c:v>
                </c:pt>
                <c:pt idx="31">
                  <c:v>Dánsko</c:v>
                </c:pt>
                <c:pt idx="32">
                  <c:v>Švédsko</c:v>
                </c:pt>
              </c:strCache>
            </c:strRef>
          </c:cat>
          <c:val>
            <c:numRef>
              <c:f>'[Plyn podnikatelia 2015 vrátane daní a poplatkov.xls]Data'!$B$14:$B$46</c:f>
              <c:numCache>
                <c:formatCode>#,##0.0000</c:formatCode>
                <c:ptCount val="33"/>
                <c:pt idx="0">
                  <c:v>2.63E-2</c:v>
                </c:pt>
                <c:pt idx="1">
                  <c:v>2.93E-2</c:v>
                </c:pt>
                <c:pt idx="2">
                  <c:v>2.98E-2</c:v>
                </c:pt>
                <c:pt idx="3">
                  <c:v>3.2199999999999999E-2</c:v>
                </c:pt>
                <c:pt idx="4">
                  <c:v>3.2599999999999997E-2</c:v>
                </c:pt>
                <c:pt idx="5">
                  <c:v>3.4299999999999997E-2</c:v>
                </c:pt>
                <c:pt idx="6">
                  <c:v>3.5499999999999997E-2</c:v>
                </c:pt>
                <c:pt idx="7">
                  <c:v>3.56E-2</c:v>
                </c:pt>
                <c:pt idx="8">
                  <c:v>3.56E-2</c:v>
                </c:pt>
                <c:pt idx="9">
                  <c:v>3.5900000000000001E-2</c:v>
                </c:pt>
                <c:pt idx="10">
                  <c:v>3.8399999999999997E-2</c:v>
                </c:pt>
                <c:pt idx="11">
                  <c:v>3.8800000000000001E-2</c:v>
                </c:pt>
                <c:pt idx="12">
                  <c:v>3.9699999999999999E-2</c:v>
                </c:pt>
                <c:pt idx="13">
                  <c:v>4.0399999999999998E-2</c:v>
                </c:pt>
                <c:pt idx="14">
                  <c:v>4.0599999999999997E-2</c:v>
                </c:pt>
                <c:pt idx="15">
                  <c:v>4.0800000000000003E-2</c:v>
                </c:pt>
                <c:pt idx="16">
                  <c:v>4.1300000000000003E-2</c:v>
                </c:pt>
                <c:pt idx="17">
                  <c:v>4.1300000000000003E-2</c:v>
                </c:pt>
                <c:pt idx="18">
                  <c:v>4.1599999999999998E-2</c:v>
                </c:pt>
                <c:pt idx="19">
                  <c:v>4.1599999999999998E-2</c:v>
                </c:pt>
                <c:pt idx="20">
                  <c:v>4.2099999999999999E-2</c:v>
                </c:pt>
                <c:pt idx="21">
                  <c:v>4.2500000000000003E-2</c:v>
                </c:pt>
                <c:pt idx="22">
                  <c:v>4.2900000000000001E-2</c:v>
                </c:pt>
                <c:pt idx="23">
                  <c:v>4.3799999999999999E-2</c:v>
                </c:pt>
                <c:pt idx="24">
                  <c:v>4.4900000000000002E-2</c:v>
                </c:pt>
                <c:pt idx="25">
                  <c:v>4.6399999999999997E-2</c:v>
                </c:pt>
                <c:pt idx="26">
                  <c:v>4.65E-2</c:v>
                </c:pt>
                <c:pt idx="27">
                  <c:v>4.8000000000000001E-2</c:v>
                </c:pt>
                <c:pt idx="28">
                  <c:v>5.2400000000000002E-2</c:v>
                </c:pt>
                <c:pt idx="29">
                  <c:v>6.2199999999999998E-2</c:v>
                </c:pt>
                <c:pt idx="30">
                  <c:v>6.4600000000000005E-2</c:v>
                </c:pt>
                <c:pt idx="31">
                  <c:v>6.7000000000000004E-2</c:v>
                </c:pt>
                <c:pt idx="32">
                  <c:v>7.7899999999999997E-2</c:v>
                </c:pt>
              </c:numCache>
            </c:numRef>
          </c:val>
          <c:extLst xmlns:c16r2="http://schemas.microsoft.com/office/drawing/2015/06/chart">
            <c:ext xmlns:c16="http://schemas.microsoft.com/office/drawing/2014/chart" uri="{C3380CC4-5D6E-409C-BE32-E72D297353CC}">
              <c16:uniqueId val="{00000002-D1D2-4630-AD3F-C4D4CE2E78D0}"/>
            </c:ext>
          </c:extLst>
        </c:ser>
        <c:dLbls>
          <c:showLegendKey val="0"/>
          <c:showVal val="0"/>
          <c:showCatName val="0"/>
          <c:showSerName val="0"/>
          <c:showPercent val="0"/>
          <c:showBubbleSize val="0"/>
        </c:dLbls>
        <c:gapWidth val="150"/>
        <c:axId val="133374720"/>
        <c:axId val="133376256"/>
      </c:barChart>
      <c:catAx>
        <c:axId val="133374720"/>
        <c:scaling>
          <c:orientation val="minMax"/>
        </c:scaling>
        <c:delete val="0"/>
        <c:axPos val="b"/>
        <c:numFmt formatCode="General" sourceLinked="1"/>
        <c:majorTickMark val="out"/>
        <c:minorTickMark val="none"/>
        <c:tickLblPos val="nextTo"/>
        <c:crossAx val="133376256"/>
        <c:crosses val="autoZero"/>
        <c:auto val="1"/>
        <c:lblAlgn val="ctr"/>
        <c:lblOffset val="100"/>
        <c:noMultiLvlLbl val="0"/>
      </c:catAx>
      <c:valAx>
        <c:axId val="133376256"/>
        <c:scaling>
          <c:orientation val="minMax"/>
        </c:scaling>
        <c:delete val="0"/>
        <c:axPos val="l"/>
        <c:majorGridlines/>
        <c:numFmt formatCode="#,##0.0000" sourceLinked="1"/>
        <c:majorTickMark val="out"/>
        <c:minorTickMark val="none"/>
        <c:tickLblPos val="nextTo"/>
        <c:crossAx val="133374720"/>
        <c:crosses val="autoZero"/>
        <c:crossBetween val="between"/>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400" baseline="0">
                <a:latin typeface="Times New Roman" panose="02020603050405020304" pitchFamily="18" charset="0"/>
                <a:cs typeface="Times New Roman" panose="02020603050405020304" pitchFamily="18" charset="0"/>
              </a:defRPr>
            </a:pPr>
            <a:r>
              <a:rPr lang="sk-SK" sz="1400" baseline="0">
                <a:latin typeface="Times New Roman" panose="02020603050405020304" pitchFamily="18" charset="0"/>
                <a:cs typeface="Times New Roman" panose="02020603050405020304" pitchFamily="18" charset="0"/>
              </a:rPr>
              <a:t>Priemerná miera nezamestnanosti (v %) </a:t>
            </a:r>
          </a:p>
        </c:rich>
      </c:tx>
      <c:overlay val="1"/>
    </c:title>
    <c:autoTitleDeleted val="0"/>
    <c:plotArea>
      <c:layout>
        <c:manualLayout>
          <c:layoutTarget val="inner"/>
          <c:xMode val="edge"/>
          <c:yMode val="edge"/>
          <c:x val="2.7586305765273364E-2"/>
          <c:y val="0.16696480536499467"/>
          <c:w val="0.93931034482758602"/>
          <c:h val="0.72695902282600966"/>
        </c:manualLayout>
      </c:layout>
      <c:barChart>
        <c:barDir val="col"/>
        <c:grouping val="clustered"/>
        <c:varyColors val="0"/>
        <c:ser>
          <c:idx val="1"/>
          <c:order val="0"/>
          <c:invertIfNegative val="0"/>
          <c:dLbls>
            <c:spPr>
              <a:noFill/>
              <a:ln>
                <a:noFill/>
              </a:ln>
              <a:effectLst/>
            </c:spPr>
            <c:txPr>
              <a:bodyPr/>
              <a:lstStyle/>
              <a:p>
                <a:pPr>
                  <a:defRPr sz="1200" baseline="0">
                    <a:latin typeface="Times New Roman" panose="02020603050405020304" pitchFamily="18" charset="0"/>
                    <a:cs typeface="Times New Roman" panose="02020603050405020304" pitchFamily="18" charset="0"/>
                  </a:defRPr>
                </a:pPr>
                <a:endParaRPr lang="sk-SK"/>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Nezamestnanosť!$F$4:$O$4</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Nezamestnanosť!$F$5:$O$5</c:f>
              <c:numCache>
                <c:formatCode>General</c:formatCode>
                <c:ptCount val="10"/>
                <c:pt idx="0">
                  <c:v>13.3</c:v>
                </c:pt>
                <c:pt idx="1">
                  <c:v>11</c:v>
                </c:pt>
                <c:pt idx="2">
                  <c:v>9.6</c:v>
                </c:pt>
                <c:pt idx="3">
                  <c:v>12.1</c:v>
                </c:pt>
                <c:pt idx="4">
                  <c:v>14.4</c:v>
                </c:pt>
                <c:pt idx="5">
                  <c:v>13.6</c:v>
                </c:pt>
                <c:pt idx="6">
                  <c:v>14</c:v>
                </c:pt>
                <c:pt idx="7">
                  <c:v>14.2</c:v>
                </c:pt>
                <c:pt idx="8">
                  <c:v>13.2</c:v>
                </c:pt>
                <c:pt idx="9">
                  <c:v>11.5</c:v>
                </c:pt>
              </c:numCache>
            </c:numRef>
          </c:val>
          <c:extLst xmlns:c16r2="http://schemas.microsoft.com/office/drawing/2015/06/chart">
            <c:ext xmlns:c16="http://schemas.microsoft.com/office/drawing/2014/chart" uri="{C3380CC4-5D6E-409C-BE32-E72D297353CC}">
              <c16:uniqueId val="{00000000-B1C0-439E-9EF6-4502176CD15E}"/>
            </c:ext>
          </c:extLst>
        </c:ser>
        <c:dLbls>
          <c:showLegendKey val="0"/>
          <c:showVal val="0"/>
          <c:showCatName val="0"/>
          <c:showSerName val="0"/>
          <c:showPercent val="0"/>
          <c:showBubbleSize val="0"/>
        </c:dLbls>
        <c:gapWidth val="150"/>
        <c:axId val="150987904"/>
        <c:axId val="175779840"/>
      </c:barChart>
      <c:catAx>
        <c:axId val="150987904"/>
        <c:scaling>
          <c:orientation val="minMax"/>
        </c:scaling>
        <c:delete val="0"/>
        <c:axPos val="b"/>
        <c:numFmt formatCode="General" sourceLinked="1"/>
        <c:majorTickMark val="out"/>
        <c:minorTickMark val="none"/>
        <c:tickLblPos val="nextTo"/>
        <c:txPr>
          <a:bodyPr/>
          <a:lstStyle/>
          <a:p>
            <a:pPr>
              <a:defRPr sz="1200" baseline="0">
                <a:latin typeface="Times New Roman" panose="02020603050405020304" pitchFamily="18" charset="0"/>
                <a:cs typeface="Times New Roman" panose="02020603050405020304" pitchFamily="18" charset="0"/>
              </a:defRPr>
            </a:pPr>
            <a:endParaRPr lang="sk-SK"/>
          </a:p>
        </c:txPr>
        <c:crossAx val="175779840"/>
        <c:crosses val="autoZero"/>
        <c:auto val="1"/>
        <c:lblAlgn val="ctr"/>
        <c:lblOffset val="100"/>
        <c:noMultiLvlLbl val="0"/>
      </c:catAx>
      <c:valAx>
        <c:axId val="175779840"/>
        <c:scaling>
          <c:orientation val="minMax"/>
        </c:scaling>
        <c:delete val="1"/>
        <c:axPos val="l"/>
        <c:majorGridlines/>
        <c:numFmt formatCode="General" sourceLinked="1"/>
        <c:majorTickMark val="out"/>
        <c:minorTickMark val="none"/>
        <c:tickLblPos val="none"/>
        <c:crossAx val="150987904"/>
        <c:crosses val="autoZero"/>
        <c:crossBetween val="between"/>
      </c:valAx>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v>priemerná mzda</c:v>
          </c:tx>
          <c:marker>
            <c:symbol val="none"/>
          </c:marker>
          <c:dLbls>
            <c:spPr>
              <a:noFill/>
              <a:ln>
                <a:noFill/>
              </a:ln>
              <a:effectLst/>
            </c:sp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Hárok2!$A$7:$A$16</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Hárok2!$G$7:$G$16</c:f>
              <c:numCache>
                <c:formatCode>General</c:formatCode>
                <c:ptCount val="10"/>
                <c:pt idx="0">
                  <c:v>723.03</c:v>
                </c:pt>
                <c:pt idx="1">
                  <c:v>744.5</c:v>
                </c:pt>
                <c:pt idx="2">
                  <c:v>769</c:v>
                </c:pt>
                <c:pt idx="3">
                  <c:v>786</c:v>
                </c:pt>
                <c:pt idx="4">
                  <c:v>805</c:v>
                </c:pt>
                <c:pt idx="5">
                  <c:v>824</c:v>
                </c:pt>
                <c:pt idx="6">
                  <c:v>858</c:v>
                </c:pt>
                <c:pt idx="7">
                  <c:v>883</c:v>
                </c:pt>
                <c:pt idx="8">
                  <c:v>908</c:v>
                </c:pt>
                <c:pt idx="9">
                  <c:v>940</c:v>
                </c:pt>
              </c:numCache>
            </c:numRef>
          </c:val>
          <c:smooth val="0"/>
          <c:extLst xmlns:c16r2="http://schemas.microsoft.com/office/drawing/2015/06/chart">
            <c:ext xmlns:c16="http://schemas.microsoft.com/office/drawing/2014/chart" uri="{C3380CC4-5D6E-409C-BE32-E72D297353CC}">
              <c16:uniqueId val="{00000000-99AA-4A4E-83B8-908CD5D2B6A7}"/>
            </c:ext>
          </c:extLst>
        </c:ser>
        <c:ser>
          <c:idx val="1"/>
          <c:order val="1"/>
          <c:tx>
            <c:v>minimálna mzda</c:v>
          </c:tx>
          <c:marker>
            <c:symbol val="none"/>
          </c:marker>
          <c:dLbls>
            <c:spPr>
              <a:noFill/>
              <a:ln>
                <a:noFill/>
              </a:ln>
              <a:effectLst/>
            </c:sp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val>
            <c:numRef>
              <c:f>Hárok2!$C$7:$C$16</c:f>
              <c:numCache>
                <c:formatCode>General</c:formatCode>
                <c:ptCount val="10"/>
                <c:pt idx="0">
                  <c:v>268.87</c:v>
                </c:pt>
                <c:pt idx="1">
                  <c:v>295.5</c:v>
                </c:pt>
                <c:pt idx="2">
                  <c:v>307.7</c:v>
                </c:pt>
                <c:pt idx="3">
                  <c:v>317</c:v>
                </c:pt>
                <c:pt idx="4">
                  <c:v>327.2</c:v>
                </c:pt>
                <c:pt idx="5">
                  <c:v>337.7</c:v>
                </c:pt>
                <c:pt idx="6">
                  <c:v>352</c:v>
                </c:pt>
                <c:pt idx="7">
                  <c:v>380</c:v>
                </c:pt>
                <c:pt idx="8">
                  <c:v>405</c:v>
                </c:pt>
                <c:pt idx="9">
                  <c:v>435</c:v>
                </c:pt>
              </c:numCache>
            </c:numRef>
          </c:val>
          <c:smooth val="0"/>
          <c:extLst xmlns:c16r2="http://schemas.microsoft.com/office/drawing/2015/06/chart">
            <c:ext xmlns:c16="http://schemas.microsoft.com/office/drawing/2014/chart" uri="{C3380CC4-5D6E-409C-BE32-E72D297353CC}">
              <c16:uniqueId val="{00000001-99AA-4A4E-83B8-908CD5D2B6A7}"/>
            </c:ext>
          </c:extLst>
        </c:ser>
        <c:dLbls>
          <c:showLegendKey val="0"/>
          <c:showVal val="0"/>
          <c:showCatName val="0"/>
          <c:showSerName val="0"/>
          <c:showPercent val="0"/>
          <c:showBubbleSize val="0"/>
        </c:dLbls>
        <c:marker val="1"/>
        <c:smooth val="0"/>
        <c:axId val="24588672"/>
        <c:axId val="24590208"/>
      </c:lineChart>
      <c:catAx>
        <c:axId val="24588672"/>
        <c:scaling>
          <c:orientation val="minMax"/>
        </c:scaling>
        <c:delete val="0"/>
        <c:axPos val="b"/>
        <c:numFmt formatCode="General" sourceLinked="1"/>
        <c:majorTickMark val="none"/>
        <c:minorTickMark val="none"/>
        <c:tickLblPos val="nextTo"/>
        <c:crossAx val="24590208"/>
        <c:crosses val="autoZero"/>
        <c:auto val="1"/>
        <c:lblAlgn val="ctr"/>
        <c:lblOffset val="100"/>
        <c:noMultiLvlLbl val="0"/>
      </c:catAx>
      <c:valAx>
        <c:axId val="24590208"/>
        <c:scaling>
          <c:orientation val="minMax"/>
        </c:scaling>
        <c:delete val="0"/>
        <c:axPos val="l"/>
        <c:majorGridlines/>
        <c:numFmt formatCode="General" sourceLinked="1"/>
        <c:majorTickMark val="none"/>
        <c:minorTickMark val="none"/>
        <c:tickLblPos val="nextTo"/>
        <c:crossAx val="24588672"/>
        <c:crosses val="autoZero"/>
        <c:crossBetween val="between"/>
      </c:valAx>
    </c:plotArea>
    <c:legend>
      <c:legendPos val="b"/>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sk-SK"/>
    </a:p>
  </c:txPr>
  <c:externalData r:id="rId2">
    <c:autoUpdate val="0"/>
  </c:externalData>
</c:chartSpace>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WKX3UHSAJ2R6-2-758955</_dlc_DocId>
    <_dlc_DocIdUrl xmlns="e60a29af-d413-48d4-bd90-fe9d2a897e4b">
      <Url>https://ovdmasv601/sites/DMS/_layouts/15/DocIdRedir.aspx?ID=WKX3UHSAJ2R6-2-758955</Url>
      <Description>WKX3UHSAJ2R6-2-758955</Description>
    </_dlc_DocIdUrl>
  </documentManagement>
</p:properties>
</file>

<file path=customXml/itemProps1.xml><?xml version="1.0" encoding="utf-8"?>
<ds:datastoreItem xmlns:ds="http://schemas.openxmlformats.org/officeDocument/2006/customXml" ds:itemID="{4E8A9591-F074-446B-902F-511FF79C122F}"/>
</file>

<file path=customXml/itemProps2.xml><?xml version="1.0" encoding="utf-8"?>
<ds:datastoreItem xmlns:ds="http://schemas.openxmlformats.org/officeDocument/2006/customXml" ds:itemID="{A883BED6-B637-4E89-9A2A-3D2788E69594}"/>
</file>

<file path=customXml/itemProps3.xml><?xml version="1.0" encoding="utf-8"?>
<ds:datastoreItem xmlns:ds="http://schemas.openxmlformats.org/officeDocument/2006/customXml" ds:itemID="{A7E87AD7-CACF-4D81-9907-F068B703E56F}"/>
</file>

<file path=customXml/itemProps4.xml><?xml version="1.0" encoding="utf-8"?>
<ds:datastoreItem xmlns:ds="http://schemas.openxmlformats.org/officeDocument/2006/customXml" ds:itemID="{0149EFBE-91A9-414D-A6DC-D06577A1DADD}"/>
</file>

<file path=customXml/itemProps5.xml><?xml version="1.0" encoding="utf-8"?>
<ds:datastoreItem xmlns:ds="http://schemas.openxmlformats.org/officeDocument/2006/customXml" ds:itemID="{2EB0B773-727E-413E-908E-3EA8912A3101}"/>
</file>

<file path=customXml/itemProps6.xml><?xml version="1.0" encoding="utf-8"?>
<ds:datastoreItem xmlns:ds="http://schemas.openxmlformats.org/officeDocument/2006/customXml" ds:itemID="{60EB9175-5778-401E-81FE-D0A78606DCEB}"/>
</file>

<file path=docProps/app.xml><?xml version="1.0" encoding="utf-8"?>
<Properties xmlns="http://schemas.openxmlformats.org/officeDocument/2006/extended-properties" xmlns:vt="http://schemas.openxmlformats.org/officeDocument/2006/docPropsVTypes">
  <Template>Normal</Template>
  <TotalTime>1</TotalTime>
  <Pages>34</Pages>
  <Words>13175</Words>
  <Characters>75104</Characters>
  <Application>Microsoft Office Word</Application>
  <DocSecurity>0</DocSecurity>
  <Lines>625</Lines>
  <Paragraphs>176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Mikulova Andrea</cp:lastModifiedBy>
  <cp:revision>3</cp:revision>
  <cp:lastPrinted>2016-12-07T13:25:00Z</cp:lastPrinted>
  <dcterms:created xsi:type="dcterms:W3CDTF">2016-12-12T14:24:00Z</dcterms:created>
  <dcterms:modified xsi:type="dcterms:W3CDTF">2016-12-16T13:35:00Z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0bc3f0df-3d4c-4341-88e2-dc28519f4c91</vt:lpwstr>
  </property>
</Properties>
</file>